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7A" w:rsidRPr="00B26E7A" w:rsidRDefault="00B26E7A" w:rsidP="00F147A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eastAsia="Times New Roman" w:cs="Times New Roman"/>
          <w:bCs/>
          <w:sz w:val="16"/>
          <w:szCs w:val="1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82"/>
        <w:gridCol w:w="1107"/>
        <w:gridCol w:w="4174"/>
      </w:tblGrid>
      <w:tr w:rsidR="00B26E7A" w:rsidRPr="00B26E7A" w:rsidTr="00567746">
        <w:trPr>
          <w:trHeight w:hRule="exact" w:val="1418"/>
        </w:trPr>
        <w:tc>
          <w:tcPr>
            <w:tcW w:w="4253" w:type="dxa"/>
            <w:shd w:val="clear" w:color="auto" w:fill="auto"/>
            <w:vAlign w:val="center"/>
          </w:tcPr>
          <w:p w:rsidR="00B26E7A" w:rsidRPr="00B26E7A" w:rsidRDefault="00B26E7A" w:rsidP="00B26E7A">
            <w:pPr>
              <w:spacing w:after="0" w:line="220" w:lineRule="exact"/>
              <w:rPr>
                <w:rFonts w:eastAsia="Calibri" w:cs="Times New Roman"/>
                <w:b/>
                <w:caps/>
                <w:sz w:val="16"/>
                <w:szCs w:val="16"/>
                <w:lang w:val="tt-RU"/>
              </w:rPr>
            </w:pPr>
            <w:r>
              <w:rPr>
                <w:rFonts w:eastAsia="Calibri" w:cs="Times New Roman"/>
                <w:b/>
                <w:caps/>
                <w:sz w:val="16"/>
                <w:szCs w:val="16"/>
              </w:rPr>
              <w:t xml:space="preserve">    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</w:rPr>
              <w:t>РЕСПУБЛИК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  <w:lang w:val="tt-RU"/>
              </w:rPr>
              <w:t>А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</w:rPr>
              <w:t xml:space="preserve"> ТАТАРСТАН АПАСТОВСК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  <w:lang w:val="tt-RU"/>
              </w:rPr>
              <w:t xml:space="preserve">ИЙ </w:t>
            </w:r>
          </w:p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b/>
                <w:caps/>
                <w:sz w:val="16"/>
                <w:szCs w:val="16"/>
              </w:rPr>
            </w:pPr>
            <w:r w:rsidRPr="00B26E7A">
              <w:rPr>
                <w:rFonts w:eastAsia="Calibri" w:cs="Times New Roman"/>
                <w:b/>
                <w:caps/>
                <w:sz w:val="16"/>
                <w:szCs w:val="16"/>
              </w:rPr>
              <w:t>МУНИЦИПАЛЬН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  <w:lang w:val="tt-RU"/>
              </w:rPr>
              <w:t>ЫЙ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</w:rPr>
              <w:t xml:space="preserve">  РАЙОН </w:t>
            </w:r>
          </w:p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b/>
                <w:caps/>
                <w:sz w:val="16"/>
                <w:szCs w:val="16"/>
              </w:rPr>
            </w:pPr>
            <w:r w:rsidRPr="00B26E7A">
              <w:rPr>
                <w:rFonts w:eastAsia="Calibri" w:cs="Times New Roman"/>
                <w:b/>
                <w:caps/>
                <w:sz w:val="16"/>
                <w:szCs w:val="16"/>
              </w:rPr>
              <w:t>КОНТРОЛЬНО – СЧЕТНАЯ ПАЛАТА</w:t>
            </w:r>
          </w:p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26E7A">
              <w:rPr>
                <w:rFonts w:eastAsia="Calibri" w:cs="Times New Roman"/>
                <w:sz w:val="16"/>
                <w:szCs w:val="16"/>
              </w:rPr>
              <w:t xml:space="preserve">422350, 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</w:rPr>
              <w:t>пгт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>. Апастово, улица Советская, д.2</w:t>
            </w:r>
          </w:p>
        </w:tc>
        <w:tc>
          <w:tcPr>
            <w:tcW w:w="1134" w:type="dxa"/>
            <w:shd w:val="clear" w:color="auto" w:fill="auto"/>
          </w:tcPr>
          <w:p w:rsidR="00B26E7A" w:rsidRPr="00B26E7A" w:rsidRDefault="00B26E7A" w:rsidP="00B26E7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6E7A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FBE814" wp14:editId="25032E85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4445</wp:posOffset>
                  </wp:positionV>
                  <wp:extent cx="714375" cy="895350"/>
                  <wp:effectExtent l="0" t="0" r="9525" b="0"/>
                  <wp:wrapNone/>
                  <wp:docPr id="3" name="Рисунок 3" descr="герб Апастов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Апастов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b/>
                <w:caps/>
                <w:sz w:val="16"/>
                <w:szCs w:val="16"/>
              </w:rPr>
            </w:pPr>
            <w:r w:rsidRPr="00B26E7A">
              <w:rPr>
                <w:rFonts w:eastAsia="Calibri" w:cs="Times New Roman"/>
                <w:b/>
                <w:caps/>
                <w:sz w:val="16"/>
                <w:szCs w:val="16"/>
              </w:rPr>
              <w:t>ТАТАРСТАН  РЕСПУБЛИКАСЫ</w:t>
            </w:r>
          </w:p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b/>
                <w:caps/>
                <w:sz w:val="16"/>
                <w:szCs w:val="16"/>
                <w:lang w:val="tt-RU"/>
              </w:rPr>
            </w:pPr>
            <w:r w:rsidRPr="00B26E7A">
              <w:rPr>
                <w:rFonts w:eastAsia="Calibri" w:cs="Times New Roman"/>
                <w:b/>
                <w:caps/>
                <w:sz w:val="16"/>
                <w:szCs w:val="16"/>
              </w:rPr>
              <w:t>АПАС МУНИЦИПАЛЬ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  <w:lang w:val="tt-RU"/>
              </w:rPr>
              <w:t xml:space="preserve"> 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</w:rPr>
              <w:t xml:space="preserve">РАЙОНЫ 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  <w:lang w:val="tt-RU"/>
              </w:rPr>
              <w:t xml:space="preserve">КОНТРОЛЬ ҺӘМ </w:t>
            </w:r>
          </w:p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b/>
                <w:caps/>
                <w:sz w:val="16"/>
                <w:szCs w:val="16"/>
              </w:rPr>
            </w:pPr>
            <w:r w:rsidRPr="00B26E7A">
              <w:rPr>
                <w:rFonts w:eastAsia="Calibri" w:cs="Times New Roman"/>
                <w:b/>
                <w:caps/>
                <w:sz w:val="16"/>
                <w:szCs w:val="16"/>
                <w:lang w:val="tt-RU"/>
              </w:rPr>
              <w:t>ИСӘП – ХИСАП  ПАЛАТАСЫ</w:t>
            </w:r>
          </w:p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b/>
                <w:caps/>
                <w:sz w:val="16"/>
                <w:szCs w:val="16"/>
              </w:rPr>
            </w:pPr>
            <w:r w:rsidRPr="00B26E7A">
              <w:rPr>
                <w:rFonts w:eastAsia="Calibri" w:cs="Times New Roman"/>
                <w:sz w:val="16"/>
                <w:szCs w:val="16"/>
              </w:rPr>
              <w:t xml:space="preserve">422350, 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</w:rPr>
              <w:t>штп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 xml:space="preserve">. 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</w:rPr>
              <w:t>Апас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 xml:space="preserve">, Советская 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</w:rPr>
              <w:t>урамы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 xml:space="preserve">, 2 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</w:rPr>
              <w:t>йорт</w:t>
            </w:r>
            <w:proofErr w:type="spellEnd"/>
          </w:p>
        </w:tc>
      </w:tr>
      <w:tr w:rsidR="00B26E7A" w:rsidRPr="00B26E7A" w:rsidTr="00567746">
        <w:trPr>
          <w:trHeight w:val="680"/>
        </w:trPr>
        <w:tc>
          <w:tcPr>
            <w:tcW w:w="9639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B26E7A" w:rsidRPr="00B26E7A" w:rsidRDefault="00B26E7A" w:rsidP="00B26E7A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26E7A">
              <w:rPr>
                <w:rFonts w:eastAsia="Calibri" w:cs="Times New Roman"/>
                <w:sz w:val="16"/>
                <w:szCs w:val="16"/>
              </w:rPr>
              <w:t>тел.: (84376) 2-15-</w:t>
            </w:r>
            <w:r w:rsidRPr="00B26E7A">
              <w:rPr>
                <w:rFonts w:eastAsia="Calibri" w:cs="Times New Roman"/>
                <w:sz w:val="16"/>
                <w:szCs w:val="16"/>
                <w:lang w:val="tt-RU"/>
              </w:rPr>
              <w:t>31</w:t>
            </w:r>
            <w:r w:rsidRPr="00B26E7A">
              <w:rPr>
                <w:rFonts w:eastAsia="Calibri" w:cs="Times New Roman"/>
                <w:sz w:val="16"/>
                <w:szCs w:val="16"/>
              </w:rPr>
              <w:t>, факс: 2-</w:t>
            </w:r>
            <w:r w:rsidRPr="00B26E7A">
              <w:rPr>
                <w:rFonts w:eastAsia="Calibri" w:cs="Times New Roman"/>
                <w:sz w:val="16"/>
                <w:szCs w:val="16"/>
                <w:lang w:val="tt-RU"/>
              </w:rPr>
              <w:t>15-31</w:t>
            </w:r>
            <w:r w:rsidRPr="00B26E7A">
              <w:rPr>
                <w:rFonts w:eastAsia="Calibri" w:cs="Times New Roman"/>
                <w:sz w:val="16"/>
                <w:szCs w:val="16"/>
              </w:rPr>
              <w:t xml:space="preserve">,  </w:t>
            </w:r>
            <w:r w:rsidRPr="00B26E7A">
              <w:rPr>
                <w:rFonts w:eastAsia="Calibri" w:cs="Times New Roman"/>
                <w:sz w:val="16"/>
                <w:szCs w:val="16"/>
                <w:lang w:val="en-US"/>
              </w:rPr>
              <w:t>e</w:t>
            </w:r>
            <w:r w:rsidRPr="00B26E7A">
              <w:rPr>
                <w:rFonts w:eastAsia="Calibri" w:cs="Times New Roman"/>
                <w:sz w:val="16"/>
                <w:szCs w:val="16"/>
              </w:rPr>
              <w:t>-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</w:rPr>
              <w:t>mail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 xml:space="preserve">: 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  <w:lang w:val="en-US"/>
              </w:rPr>
              <w:t>apas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>.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  <w:lang w:val="en-US"/>
              </w:rPr>
              <w:t>ksp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 xml:space="preserve">@tatar.ru,  </w:t>
            </w:r>
            <w:r w:rsidRPr="00B26E7A">
              <w:rPr>
                <w:rFonts w:eastAsia="Calibri" w:cs="Times New Roman"/>
                <w:sz w:val="16"/>
                <w:szCs w:val="16"/>
                <w:lang w:val="en-US"/>
              </w:rPr>
              <w:t>http</w:t>
            </w:r>
            <w:r w:rsidRPr="00B26E7A">
              <w:rPr>
                <w:rFonts w:eastAsia="Calibri" w:cs="Times New Roman"/>
                <w:sz w:val="16"/>
                <w:szCs w:val="16"/>
              </w:rPr>
              <w:t>://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  <w:lang w:val="en-US"/>
              </w:rPr>
              <w:t>apastovo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>.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  <w:lang w:val="en-US"/>
              </w:rPr>
              <w:t>tatarstan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>.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B26E7A" w:rsidRPr="00B26E7A" w:rsidTr="00567746">
        <w:trPr>
          <w:trHeight w:hRule="exact" w:val="538"/>
        </w:trPr>
        <w:tc>
          <w:tcPr>
            <w:tcW w:w="9639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B26E7A" w:rsidRPr="00B26E7A" w:rsidRDefault="00B26E7A" w:rsidP="00B26E7A">
            <w:pPr>
              <w:spacing w:after="0" w:line="26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26E7A" w:rsidRPr="00B26E7A" w:rsidTr="00567746">
        <w:trPr>
          <w:trHeight w:hRule="exact" w:val="100"/>
        </w:trPr>
        <w:tc>
          <w:tcPr>
            <w:tcW w:w="9639" w:type="dxa"/>
            <w:gridSpan w:val="3"/>
            <w:shd w:val="clear" w:color="auto" w:fill="auto"/>
          </w:tcPr>
          <w:p w:rsidR="00B26E7A" w:rsidRPr="00B26E7A" w:rsidRDefault="00B26E7A" w:rsidP="00B26E7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8A286A" w:rsidRDefault="008A286A" w:rsidP="008A286A">
      <w:pPr>
        <w:spacing w:line="240" w:lineRule="auto"/>
        <w:jc w:val="center"/>
        <w:rPr>
          <w:b/>
        </w:rPr>
      </w:pPr>
    </w:p>
    <w:p w:rsidR="008A286A" w:rsidRDefault="008A286A" w:rsidP="008A286A">
      <w:pPr>
        <w:spacing w:line="240" w:lineRule="auto"/>
        <w:jc w:val="center"/>
        <w:rPr>
          <w:b/>
        </w:rPr>
      </w:pPr>
    </w:p>
    <w:p w:rsidR="00744116" w:rsidRDefault="00744116" w:rsidP="008A286A">
      <w:pPr>
        <w:spacing w:line="240" w:lineRule="auto"/>
        <w:jc w:val="center"/>
        <w:rPr>
          <w:b/>
        </w:rPr>
      </w:pPr>
    </w:p>
    <w:p w:rsidR="00744116" w:rsidRDefault="00744116" w:rsidP="008A286A">
      <w:pPr>
        <w:spacing w:line="240" w:lineRule="auto"/>
        <w:jc w:val="center"/>
        <w:rPr>
          <w:b/>
        </w:rPr>
      </w:pPr>
    </w:p>
    <w:p w:rsidR="00744116" w:rsidRDefault="00744116" w:rsidP="008A286A">
      <w:pPr>
        <w:spacing w:line="240" w:lineRule="auto"/>
        <w:jc w:val="center"/>
        <w:rPr>
          <w:b/>
        </w:rPr>
      </w:pPr>
    </w:p>
    <w:p w:rsidR="00F147A5" w:rsidRDefault="00B910D5" w:rsidP="00B910D5">
      <w:pPr>
        <w:spacing w:line="240" w:lineRule="auto"/>
        <w:jc w:val="center"/>
        <w:rPr>
          <w:b/>
        </w:rPr>
      </w:pPr>
      <w:r>
        <w:rPr>
          <w:b/>
          <w:sz w:val="32"/>
          <w:szCs w:val="32"/>
        </w:rPr>
        <w:t xml:space="preserve">Отчет о деятельности Контрольно-счетной палаты Апастовского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  <w:r>
        <w:rPr>
          <w:b/>
          <w:sz w:val="32"/>
          <w:szCs w:val="32"/>
        </w:rPr>
        <w:t xml:space="preserve"> района Республики Татарстан за 2021 год</w:t>
      </w:r>
    </w:p>
    <w:p w:rsidR="00F147A5" w:rsidRDefault="00F147A5" w:rsidP="00B910D5">
      <w:pPr>
        <w:spacing w:line="240" w:lineRule="auto"/>
        <w:jc w:val="center"/>
        <w:rPr>
          <w:b/>
        </w:rPr>
      </w:pPr>
    </w:p>
    <w:p w:rsidR="00F147A5" w:rsidRDefault="00F147A5" w:rsidP="00B910D5">
      <w:pPr>
        <w:spacing w:line="120" w:lineRule="atLeast"/>
        <w:jc w:val="center"/>
        <w:rPr>
          <w:b/>
        </w:rPr>
      </w:pPr>
    </w:p>
    <w:p w:rsidR="00744116" w:rsidRDefault="00744116" w:rsidP="00B26E7A">
      <w:pPr>
        <w:spacing w:line="80" w:lineRule="atLeast"/>
        <w:jc w:val="center"/>
        <w:rPr>
          <w:sz w:val="24"/>
          <w:szCs w:val="24"/>
        </w:rPr>
      </w:pPr>
    </w:p>
    <w:p w:rsidR="00744116" w:rsidRDefault="00744116" w:rsidP="00B26E7A">
      <w:pPr>
        <w:spacing w:line="8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44116" w:rsidRDefault="00744116" w:rsidP="00B26E7A">
      <w:pPr>
        <w:spacing w:line="80" w:lineRule="atLeast"/>
        <w:jc w:val="center"/>
        <w:rPr>
          <w:sz w:val="24"/>
          <w:szCs w:val="24"/>
        </w:rPr>
      </w:pPr>
    </w:p>
    <w:p w:rsidR="00894FC4" w:rsidRDefault="00894FC4" w:rsidP="008A286A">
      <w:pPr>
        <w:spacing w:line="240" w:lineRule="auto"/>
        <w:ind w:left="170" w:firstLine="709"/>
        <w:jc w:val="center"/>
        <w:rPr>
          <w:sz w:val="24"/>
          <w:szCs w:val="24"/>
        </w:rPr>
      </w:pPr>
    </w:p>
    <w:p w:rsidR="00894FC4" w:rsidRDefault="00894FC4" w:rsidP="008A286A">
      <w:pPr>
        <w:spacing w:line="240" w:lineRule="auto"/>
        <w:ind w:left="170" w:firstLine="709"/>
        <w:jc w:val="center"/>
        <w:rPr>
          <w:sz w:val="24"/>
          <w:szCs w:val="24"/>
        </w:rPr>
      </w:pPr>
    </w:p>
    <w:p w:rsidR="00894FC4" w:rsidRDefault="00894FC4" w:rsidP="008A286A">
      <w:pPr>
        <w:spacing w:line="240" w:lineRule="auto"/>
        <w:ind w:left="170" w:firstLine="709"/>
        <w:jc w:val="center"/>
        <w:rPr>
          <w:sz w:val="24"/>
          <w:szCs w:val="24"/>
        </w:rPr>
      </w:pPr>
    </w:p>
    <w:p w:rsidR="00894FC4" w:rsidRDefault="00894FC4" w:rsidP="008A286A">
      <w:pPr>
        <w:spacing w:line="240" w:lineRule="auto"/>
        <w:ind w:left="170" w:firstLine="709"/>
        <w:jc w:val="center"/>
        <w:rPr>
          <w:sz w:val="24"/>
          <w:szCs w:val="24"/>
        </w:rPr>
      </w:pPr>
    </w:p>
    <w:p w:rsidR="00894FC4" w:rsidRDefault="00894FC4" w:rsidP="008A286A">
      <w:pPr>
        <w:spacing w:line="240" w:lineRule="auto"/>
        <w:ind w:left="170" w:firstLine="709"/>
        <w:jc w:val="center"/>
        <w:rPr>
          <w:sz w:val="24"/>
          <w:szCs w:val="24"/>
        </w:rPr>
      </w:pPr>
    </w:p>
    <w:p w:rsidR="00894FC4" w:rsidRDefault="00894FC4" w:rsidP="008A286A">
      <w:pPr>
        <w:spacing w:line="240" w:lineRule="auto"/>
        <w:ind w:left="170" w:firstLine="709"/>
        <w:jc w:val="center"/>
        <w:rPr>
          <w:sz w:val="24"/>
          <w:szCs w:val="24"/>
        </w:rPr>
      </w:pPr>
    </w:p>
    <w:p w:rsidR="00894FC4" w:rsidRDefault="00894FC4" w:rsidP="008A286A">
      <w:pPr>
        <w:spacing w:line="240" w:lineRule="auto"/>
        <w:ind w:left="170" w:firstLine="709"/>
        <w:jc w:val="center"/>
        <w:rPr>
          <w:sz w:val="24"/>
          <w:szCs w:val="24"/>
        </w:rPr>
      </w:pPr>
    </w:p>
    <w:p w:rsidR="00894FC4" w:rsidRDefault="00894FC4" w:rsidP="008A286A">
      <w:pPr>
        <w:spacing w:line="240" w:lineRule="auto"/>
        <w:ind w:left="170" w:firstLine="709"/>
        <w:jc w:val="center"/>
        <w:rPr>
          <w:sz w:val="24"/>
          <w:szCs w:val="24"/>
        </w:rPr>
      </w:pPr>
    </w:p>
    <w:p w:rsidR="00894FC4" w:rsidRDefault="00894FC4" w:rsidP="008A286A">
      <w:pPr>
        <w:spacing w:line="240" w:lineRule="auto"/>
        <w:ind w:left="170" w:firstLine="709"/>
        <w:jc w:val="center"/>
        <w:rPr>
          <w:sz w:val="24"/>
          <w:szCs w:val="24"/>
        </w:rPr>
      </w:pPr>
    </w:p>
    <w:p w:rsidR="00894FC4" w:rsidRDefault="00894FC4" w:rsidP="008A286A">
      <w:pPr>
        <w:spacing w:line="240" w:lineRule="auto"/>
        <w:ind w:left="170" w:firstLine="709"/>
        <w:jc w:val="center"/>
        <w:rPr>
          <w:sz w:val="24"/>
          <w:szCs w:val="24"/>
        </w:rPr>
      </w:pPr>
    </w:p>
    <w:p w:rsidR="00894FC4" w:rsidRDefault="00894FC4" w:rsidP="008A286A">
      <w:pPr>
        <w:spacing w:line="240" w:lineRule="auto"/>
        <w:ind w:left="170" w:firstLine="709"/>
        <w:jc w:val="center"/>
        <w:rPr>
          <w:sz w:val="24"/>
          <w:szCs w:val="24"/>
        </w:rPr>
      </w:pPr>
    </w:p>
    <w:p w:rsidR="00B401CE" w:rsidRDefault="005476BC" w:rsidP="008A286A">
      <w:pPr>
        <w:spacing w:line="240" w:lineRule="auto"/>
        <w:ind w:left="170" w:firstLine="709"/>
        <w:jc w:val="center"/>
        <w:rPr>
          <w:b/>
          <w:szCs w:val="28"/>
        </w:rPr>
      </w:pPr>
      <w:r w:rsidRPr="005476BC">
        <w:rPr>
          <w:b/>
          <w:szCs w:val="28"/>
        </w:rPr>
        <w:lastRenderedPageBreak/>
        <w:t>Общие положения</w:t>
      </w:r>
    </w:p>
    <w:p w:rsidR="005476BC" w:rsidRPr="003F2017" w:rsidRDefault="00894FC4" w:rsidP="00B8097A">
      <w:pPr>
        <w:spacing w:after="0" w:line="360" w:lineRule="auto"/>
        <w:ind w:left="170" w:firstLine="709"/>
        <w:jc w:val="both"/>
      </w:pPr>
      <w:r>
        <w:t xml:space="preserve">Деятельность Контрольно-счетной палаты Апастовского муниципального  района Республики Татарстан в 2021 году осуществлялась </w:t>
      </w:r>
      <w:proofErr w:type="gramStart"/>
      <w:r>
        <w:t>исходя из основных направлений экспертно-аналитической и контрольной деятельности в соответствии с годовым планом работы и строилась</w:t>
      </w:r>
      <w:proofErr w:type="gramEnd"/>
      <w:r>
        <w:t xml:space="preserve"> на принципах законности, объективности, независимости и гласности.</w:t>
      </w:r>
    </w:p>
    <w:p w:rsidR="005476BC" w:rsidRPr="003F2017" w:rsidRDefault="005476BC" w:rsidP="00B8097A">
      <w:pPr>
        <w:spacing w:after="0" w:line="360" w:lineRule="auto"/>
        <w:ind w:left="170" w:firstLine="709"/>
        <w:jc w:val="both"/>
      </w:pPr>
      <w:proofErr w:type="gramStart"/>
      <w:r w:rsidRPr="003F2017">
        <w:rPr>
          <w:rFonts w:eastAsia="Times New Roman" w:cs="Times New Roman"/>
          <w:lang w:eastAsia="ru-RU"/>
        </w:rPr>
        <w:t>Сфера контрольных полномочий Контрольно-счётной палаты Апастовского муниципального района Республики Татарстан (далее по тексту – Контрольно-счетная палата) распространяется на органы местного самоуправления и муниципальные органы, муниципальные учреждения, финансируемые за счёт средств районного бюджета, в части использования указанных средств, а также на иные организации, если они используют имущество, находящееся в муниципальной собственности Апастовского муниципального района;</w:t>
      </w:r>
      <w:proofErr w:type="gramEnd"/>
      <w:r w:rsidRPr="003F2017">
        <w:rPr>
          <w:rFonts w:eastAsia="Times New Roman" w:cs="Times New Roman"/>
          <w:lang w:eastAsia="ru-RU"/>
        </w:rPr>
        <w:t xml:space="preserve"> на органы местного самоуправления, получающие межбюджетные трансферты из районного бюджета; на коммерческие и некоммерческие организации, получающие средства из районного бюджета.</w:t>
      </w:r>
      <w:r w:rsidRPr="003F2017">
        <w:t xml:space="preserve"> </w:t>
      </w:r>
    </w:p>
    <w:p w:rsidR="005476BC" w:rsidRPr="003F2017" w:rsidRDefault="005476BC" w:rsidP="00B8097A">
      <w:pPr>
        <w:spacing w:after="0" w:line="360" w:lineRule="auto"/>
        <w:ind w:left="170" w:firstLine="709"/>
        <w:jc w:val="both"/>
      </w:pPr>
      <w:r w:rsidRPr="003F2017">
        <w:t xml:space="preserve">Деятельность Контрольно-счетной палаты основывается на принципах законности, объективности, эффективности, независимости и гласности. </w:t>
      </w:r>
    </w:p>
    <w:p w:rsidR="005476BC" w:rsidRPr="003F2017" w:rsidRDefault="005476BC" w:rsidP="00B8097A">
      <w:pPr>
        <w:spacing w:after="0" w:line="360" w:lineRule="auto"/>
        <w:ind w:left="170" w:firstLine="709"/>
        <w:jc w:val="both"/>
      </w:pPr>
      <w:r w:rsidRPr="003F2017">
        <w:t xml:space="preserve">Внешний муниципальный финансовый контроль осуществляется Контрольно-счетной палатой в форме контрольных или экспертно-аналитических мероприятий в соответствии с утвержденным планом работы. </w:t>
      </w:r>
    </w:p>
    <w:p w:rsidR="005476BC" w:rsidRPr="003F2017" w:rsidRDefault="005476BC" w:rsidP="00B8097A">
      <w:pPr>
        <w:spacing w:after="0" w:line="360" w:lineRule="auto"/>
        <w:ind w:left="170" w:firstLine="709"/>
        <w:jc w:val="both"/>
      </w:pPr>
      <w:r w:rsidRPr="003F2017">
        <w:t xml:space="preserve">Финансовый контроль формирования и исполнения бюджета </w:t>
      </w:r>
      <w:r w:rsidR="003F2017" w:rsidRPr="003F2017">
        <w:t>Апастовского</w:t>
      </w:r>
      <w:r w:rsidRPr="003F2017">
        <w:t xml:space="preserve"> м</w:t>
      </w:r>
      <w:r w:rsidR="003F2017" w:rsidRPr="003F2017">
        <w:t xml:space="preserve">униципального района </w:t>
      </w:r>
      <w:r w:rsidRPr="003F2017">
        <w:t xml:space="preserve">проводится в рамках предварительного и последующего контроля. </w:t>
      </w:r>
    </w:p>
    <w:p w:rsidR="005476BC" w:rsidRPr="003F2017" w:rsidRDefault="00F177D2" w:rsidP="00B8097A">
      <w:pPr>
        <w:spacing w:after="0" w:line="360" w:lineRule="auto"/>
        <w:ind w:left="170" w:firstLine="709"/>
        <w:jc w:val="both"/>
      </w:pPr>
      <w:r>
        <w:t>Деятельность</w:t>
      </w:r>
      <w:proofErr w:type="gramStart"/>
      <w:r>
        <w:t xml:space="preserve"> </w:t>
      </w:r>
      <w:r w:rsidR="005476BC" w:rsidRPr="003F2017">
        <w:t>К</w:t>
      </w:r>
      <w:proofErr w:type="gramEnd"/>
      <w:r w:rsidR="005476BC" w:rsidRPr="003F2017">
        <w:t>о</w:t>
      </w:r>
      <w:r w:rsidR="00567746">
        <w:t>нтрольно - счетной палаты в 2021</w:t>
      </w:r>
      <w:r w:rsidR="005476BC" w:rsidRPr="003F2017">
        <w:t xml:space="preserve"> году была направлена на решение следующих основных задач: </w:t>
      </w:r>
    </w:p>
    <w:p w:rsidR="005476BC" w:rsidRPr="003F2017" w:rsidRDefault="005476BC" w:rsidP="00B8097A">
      <w:pPr>
        <w:spacing w:after="0" w:line="360" w:lineRule="auto"/>
        <w:ind w:left="170" w:firstLine="709"/>
        <w:jc w:val="both"/>
      </w:pPr>
      <w:r w:rsidRPr="003F2017">
        <w:t xml:space="preserve">- организация и осуществление </w:t>
      </w:r>
      <w:proofErr w:type="gramStart"/>
      <w:r w:rsidRPr="003F2017">
        <w:t>контроля за</w:t>
      </w:r>
      <w:proofErr w:type="gramEnd"/>
      <w:r w:rsidRPr="003F2017">
        <w:t xml:space="preserve"> формированием и исполнением бюджета </w:t>
      </w:r>
      <w:r w:rsidR="003F2017" w:rsidRPr="003F2017">
        <w:t>Апастовского</w:t>
      </w:r>
      <w:r w:rsidRPr="003F2017">
        <w:t xml:space="preserve"> муниципального района;</w:t>
      </w:r>
    </w:p>
    <w:p w:rsidR="005476BC" w:rsidRPr="003F2017" w:rsidRDefault="005476BC" w:rsidP="00B8097A">
      <w:pPr>
        <w:spacing w:after="0" w:line="360" w:lineRule="auto"/>
        <w:ind w:left="170" w:firstLine="709"/>
        <w:jc w:val="both"/>
      </w:pPr>
      <w:r w:rsidRPr="003F2017">
        <w:lastRenderedPageBreak/>
        <w:t xml:space="preserve">- </w:t>
      </w:r>
      <w:proofErr w:type="gramStart"/>
      <w:r w:rsidRPr="003F2017">
        <w:rPr>
          <w:color w:val="000000"/>
        </w:rPr>
        <w:t>контроль за</w:t>
      </w:r>
      <w:proofErr w:type="gramEnd"/>
      <w:r w:rsidRPr="003F2017">
        <w:rPr>
          <w:color w:val="000000"/>
        </w:rPr>
        <w:t xml:space="preserve"> соблюдением установленного порядка управления и распоряжения имуществом, находящимся в собственности Района;</w:t>
      </w:r>
    </w:p>
    <w:p w:rsidR="005476BC" w:rsidRPr="003F2017" w:rsidRDefault="005476BC" w:rsidP="00B8097A">
      <w:pPr>
        <w:spacing w:after="0" w:line="360" w:lineRule="auto"/>
        <w:ind w:left="170" w:firstLine="709"/>
        <w:jc w:val="both"/>
      </w:pPr>
      <w:r w:rsidRPr="003F2017">
        <w:t xml:space="preserve"> - осуществление контроля финансово - хозяйственной деятельности муниципальных учреждений, правомерности и эффективности расходования бюджетных средств и качества оказания муниципальных услуг;</w:t>
      </w:r>
    </w:p>
    <w:p w:rsidR="005476BC" w:rsidRPr="003F2017" w:rsidRDefault="005476BC" w:rsidP="00B8097A">
      <w:pPr>
        <w:spacing w:after="0" w:line="360" w:lineRule="auto"/>
        <w:ind w:left="170" w:firstLine="709"/>
        <w:jc w:val="both"/>
        <w:rPr>
          <w:color w:val="000000"/>
        </w:rPr>
      </w:pPr>
      <w:r w:rsidRPr="003F2017">
        <w:t xml:space="preserve">- </w:t>
      </w:r>
      <w:proofErr w:type="gramStart"/>
      <w:r w:rsidRPr="003F2017">
        <w:rPr>
          <w:color w:val="000000"/>
        </w:rPr>
        <w:t>контроль за</w:t>
      </w:r>
      <w:proofErr w:type="gramEnd"/>
      <w:r w:rsidRPr="003F2017">
        <w:rPr>
          <w:color w:val="000000"/>
        </w:rPr>
        <w:t xml:space="preserve"> законностью, результативностью (эффективностью и экономностью) использования средств бюджета Района, поступивших в бюджеты поселений, входящих в состав Района;</w:t>
      </w:r>
    </w:p>
    <w:p w:rsidR="005476BC" w:rsidRPr="003F2017" w:rsidRDefault="005476BC" w:rsidP="00B8097A">
      <w:pPr>
        <w:spacing w:after="0" w:line="360" w:lineRule="auto"/>
        <w:ind w:left="170" w:firstLine="709"/>
        <w:jc w:val="both"/>
      </w:pPr>
      <w:r w:rsidRPr="003F2017">
        <w:rPr>
          <w:color w:val="000000"/>
        </w:rPr>
        <w:t>- осуществление полномочий внешнего муниципального финансового контроля в поселениях, входящих в состав Района, в соответствии с заключенными соглашениями.</w:t>
      </w:r>
    </w:p>
    <w:p w:rsidR="005476BC" w:rsidRPr="003F2017" w:rsidRDefault="005476BC" w:rsidP="00B8097A">
      <w:pPr>
        <w:spacing w:after="0" w:line="360" w:lineRule="auto"/>
        <w:ind w:left="170" w:firstLine="709"/>
        <w:jc w:val="both"/>
      </w:pPr>
      <w:r w:rsidRPr="003F2017">
        <w:t xml:space="preserve">В Отчете представлены результаты деятельности </w:t>
      </w:r>
      <w:r w:rsidR="000B7CFB">
        <w:t>Контрольно-счетной палаты в 2021</w:t>
      </w:r>
      <w:r w:rsidRPr="003F2017">
        <w:t xml:space="preserve"> году по выполнению установленных законодательством задач и полномочий.</w:t>
      </w:r>
    </w:p>
    <w:p w:rsidR="00124FC7" w:rsidRDefault="00124FC7" w:rsidP="00B8097A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Основные показатели</w:t>
      </w:r>
      <w:r w:rsidRPr="00D53F60">
        <w:rPr>
          <w:rFonts w:eastAsia="Times New Roman" w:cs="Times New Roman"/>
          <w:b/>
          <w:bCs/>
          <w:szCs w:val="28"/>
          <w:lang w:eastAsia="ru-RU"/>
        </w:rPr>
        <w:t xml:space="preserve"> деятельности</w:t>
      </w:r>
    </w:p>
    <w:p w:rsidR="00DC736A" w:rsidRPr="00D53F60" w:rsidRDefault="00B8097A" w:rsidP="00B809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        </w:t>
      </w:r>
      <w:r w:rsidR="00DC736A" w:rsidRPr="00D53F60">
        <w:rPr>
          <w:rFonts w:eastAsia="Times New Roman" w:cs="Times New Roman"/>
          <w:szCs w:val="28"/>
          <w:lang w:eastAsia="ru-RU"/>
        </w:rPr>
        <w:t xml:space="preserve">Деятельность Контрольно-счетной палаты осуществлялась в </w:t>
      </w:r>
      <w:r w:rsidR="00DC736A">
        <w:rPr>
          <w:rFonts w:eastAsia="Times New Roman" w:cs="Times New Roman"/>
          <w:szCs w:val="28"/>
          <w:lang w:eastAsia="ru-RU"/>
        </w:rPr>
        <w:t>с</w:t>
      </w:r>
      <w:r w:rsidR="00DC736A" w:rsidRPr="00D53F60">
        <w:rPr>
          <w:rFonts w:eastAsia="Times New Roman" w:cs="Times New Roman"/>
          <w:szCs w:val="28"/>
          <w:lang w:eastAsia="ru-RU"/>
        </w:rPr>
        <w:t xml:space="preserve">оответствии </w:t>
      </w:r>
      <w:r w:rsidR="00567746">
        <w:rPr>
          <w:rFonts w:eastAsia="Times New Roman" w:cs="Times New Roman"/>
          <w:szCs w:val="28"/>
          <w:lang w:eastAsia="ru-RU"/>
        </w:rPr>
        <w:t>с годовым планом работы. В 2021</w:t>
      </w:r>
      <w:r w:rsidR="00DC736A" w:rsidRPr="00D53F60">
        <w:rPr>
          <w:rFonts w:eastAsia="Times New Roman" w:cs="Times New Roman"/>
          <w:szCs w:val="28"/>
          <w:lang w:eastAsia="ru-RU"/>
        </w:rPr>
        <w:t xml:space="preserve"> году Контрольно-счетной палатой проведено </w:t>
      </w:r>
      <w:r w:rsidR="00567746">
        <w:rPr>
          <w:rFonts w:eastAsia="Times New Roman" w:cs="Times New Roman"/>
          <w:szCs w:val="28"/>
          <w:lang w:eastAsia="ru-RU"/>
        </w:rPr>
        <w:t>63</w:t>
      </w:r>
      <w:r w:rsidR="00DC736A" w:rsidRPr="00D53F60">
        <w:rPr>
          <w:rFonts w:eastAsia="Times New Roman" w:cs="Times New Roman"/>
          <w:szCs w:val="28"/>
          <w:lang w:eastAsia="ru-RU"/>
        </w:rPr>
        <w:t xml:space="preserve"> контрольных  и экспертно-аналитических мероприятий, в том числе  проведено </w:t>
      </w:r>
      <w:r w:rsidR="00567746">
        <w:rPr>
          <w:rFonts w:eastAsia="Times New Roman" w:cs="Times New Roman"/>
          <w:szCs w:val="28"/>
          <w:lang w:eastAsia="ru-RU"/>
        </w:rPr>
        <w:t>10</w:t>
      </w:r>
      <w:r w:rsidR="00DC736A">
        <w:rPr>
          <w:rFonts w:eastAsia="Times New Roman" w:cs="Times New Roman"/>
          <w:szCs w:val="28"/>
          <w:lang w:eastAsia="ru-RU"/>
        </w:rPr>
        <w:t xml:space="preserve"> </w:t>
      </w:r>
      <w:r w:rsidR="00DC736A" w:rsidRPr="00D53F60">
        <w:rPr>
          <w:rFonts w:eastAsia="Times New Roman" w:cs="Times New Roman"/>
          <w:szCs w:val="28"/>
          <w:lang w:eastAsia="ru-RU"/>
        </w:rPr>
        <w:t xml:space="preserve">контрольных и </w:t>
      </w:r>
      <w:r w:rsidR="00567746">
        <w:rPr>
          <w:rFonts w:eastAsia="Times New Roman" w:cs="Times New Roman"/>
          <w:szCs w:val="28"/>
          <w:lang w:eastAsia="ru-RU"/>
        </w:rPr>
        <w:t>53</w:t>
      </w:r>
      <w:r w:rsidR="00DC736A" w:rsidRPr="00D53F60">
        <w:rPr>
          <w:rFonts w:eastAsia="Times New Roman" w:cs="Times New Roman"/>
          <w:szCs w:val="28"/>
          <w:lang w:eastAsia="ru-RU"/>
        </w:rPr>
        <w:t xml:space="preserve"> экспертно-аналитических мероприятий. </w:t>
      </w:r>
      <w:proofErr w:type="gramStart"/>
      <w:r w:rsidR="00DC736A" w:rsidRPr="00D53F60">
        <w:rPr>
          <w:rFonts w:eastAsia="Times New Roman" w:cs="Times New Roman"/>
          <w:szCs w:val="28"/>
          <w:lang w:eastAsia="ru-RU"/>
        </w:rPr>
        <w:t xml:space="preserve">По результатам проведенных контрольных и экспертных мероприятий составлено </w:t>
      </w:r>
      <w:r w:rsidR="00567746">
        <w:rPr>
          <w:rFonts w:eastAsia="Times New Roman" w:cs="Times New Roman"/>
          <w:szCs w:val="28"/>
          <w:lang w:eastAsia="ru-RU"/>
        </w:rPr>
        <w:t>10</w:t>
      </w:r>
      <w:r w:rsidR="00DC736A" w:rsidRPr="00D53F60">
        <w:rPr>
          <w:rFonts w:eastAsia="Times New Roman" w:cs="Times New Roman"/>
          <w:szCs w:val="28"/>
          <w:lang w:eastAsia="ru-RU"/>
        </w:rPr>
        <w:t xml:space="preserve"> актов проверок, по результатам проверок подготовлено </w:t>
      </w:r>
      <w:r w:rsidR="00567746">
        <w:rPr>
          <w:rFonts w:eastAsia="Times New Roman" w:cs="Times New Roman"/>
          <w:szCs w:val="28"/>
          <w:lang w:eastAsia="ru-RU"/>
        </w:rPr>
        <w:t>10</w:t>
      </w:r>
      <w:r w:rsidR="00DC736A" w:rsidRPr="00D53F60">
        <w:rPr>
          <w:rFonts w:eastAsia="Times New Roman" w:cs="Times New Roman"/>
          <w:szCs w:val="28"/>
          <w:lang w:eastAsia="ru-RU"/>
        </w:rPr>
        <w:t xml:space="preserve"> </w:t>
      </w:r>
      <w:r w:rsidR="004E409A">
        <w:rPr>
          <w:rFonts w:eastAsia="Times New Roman" w:cs="Times New Roman"/>
          <w:szCs w:val="28"/>
          <w:lang w:eastAsia="ru-RU"/>
        </w:rPr>
        <w:t>отчетов, а также подготовлено 23</w:t>
      </w:r>
      <w:r w:rsidR="00DC736A" w:rsidRPr="00D53F60">
        <w:rPr>
          <w:rFonts w:eastAsia="Times New Roman" w:cs="Times New Roman"/>
          <w:szCs w:val="28"/>
          <w:lang w:eastAsia="ru-RU"/>
        </w:rPr>
        <w:t xml:space="preserve"> заключения по результатам внешней проверки исполнени</w:t>
      </w:r>
      <w:r w:rsidR="00DC736A">
        <w:rPr>
          <w:rFonts w:eastAsia="Times New Roman" w:cs="Times New Roman"/>
          <w:szCs w:val="28"/>
          <w:lang w:eastAsia="ru-RU"/>
        </w:rPr>
        <w:t xml:space="preserve">я </w:t>
      </w:r>
      <w:r w:rsidR="00DC736A" w:rsidRPr="00D53F60">
        <w:rPr>
          <w:rFonts w:eastAsia="Times New Roman" w:cs="Times New Roman"/>
          <w:szCs w:val="28"/>
          <w:lang w:eastAsia="ru-RU"/>
        </w:rPr>
        <w:t>районного бюджета</w:t>
      </w:r>
      <w:r w:rsidR="00DC736A" w:rsidRPr="00CE57D8">
        <w:rPr>
          <w:rFonts w:eastAsia="Times New Roman" w:cs="Times New Roman"/>
          <w:szCs w:val="28"/>
          <w:lang w:eastAsia="ru-RU"/>
        </w:rPr>
        <w:t xml:space="preserve"> </w:t>
      </w:r>
      <w:r w:rsidR="00DC736A" w:rsidRPr="00D53F60">
        <w:rPr>
          <w:rFonts w:eastAsia="Times New Roman" w:cs="Times New Roman"/>
          <w:szCs w:val="28"/>
          <w:lang w:eastAsia="ru-RU"/>
        </w:rPr>
        <w:t xml:space="preserve">и бюджетов </w:t>
      </w:r>
      <w:r w:rsidR="00DC736A">
        <w:rPr>
          <w:rFonts w:eastAsia="Times New Roman" w:cs="Times New Roman"/>
          <w:szCs w:val="28"/>
          <w:lang w:eastAsia="ru-RU"/>
        </w:rPr>
        <w:t xml:space="preserve">сельских </w:t>
      </w:r>
      <w:r w:rsidR="00DC736A" w:rsidRPr="00D53F60">
        <w:rPr>
          <w:rFonts w:eastAsia="Times New Roman" w:cs="Times New Roman"/>
          <w:szCs w:val="28"/>
          <w:lang w:eastAsia="ru-RU"/>
        </w:rPr>
        <w:t>поселений, годовой бюджетной отчетности адм</w:t>
      </w:r>
      <w:r w:rsidR="004E409A">
        <w:rPr>
          <w:rFonts w:eastAsia="Times New Roman" w:cs="Times New Roman"/>
          <w:szCs w:val="28"/>
          <w:lang w:eastAsia="ru-RU"/>
        </w:rPr>
        <w:t>инистраторов доходов бюджета, 23</w:t>
      </w:r>
      <w:r w:rsidR="00DC736A" w:rsidRPr="00D53F60">
        <w:rPr>
          <w:rFonts w:eastAsia="Times New Roman" w:cs="Times New Roman"/>
          <w:szCs w:val="28"/>
          <w:lang w:eastAsia="ru-RU"/>
        </w:rPr>
        <w:t xml:space="preserve"> заключений на проекты решений о бюджет</w:t>
      </w:r>
      <w:r w:rsidR="004E409A">
        <w:rPr>
          <w:rFonts w:eastAsia="Times New Roman" w:cs="Times New Roman"/>
          <w:szCs w:val="28"/>
          <w:lang w:eastAsia="ru-RU"/>
        </w:rPr>
        <w:t>е райо</w:t>
      </w:r>
      <w:r w:rsidR="00567746">
        <w:rPr>
          <w:rFonts w:eastAsia="Times New Roman" w:cs="Times New Roman"/>
          <w:szCs w:val="28"/>
          <w:lang w:eastAsia="ru-RU"/>
        </w:rPr>
        <w:t>на и сельских поселений, 7</w:t>
      </w:r>
      <w:r w:rsidR="00DC736A" w:rsidRPr="00D53F60">
        <w:rPr>
          <w:rFonts w:eastAsia="Times New Roman" w:cs="Times New Roman"/>
          <w:szCs w:val="28"/>
          <w:lang w:eastAsia="ru-RU"/>
        </w:rPr>
        <w:t xml:space="preserve"> заключения о </w:t>
      </w:r>
      <w:r w:rsidR="004E409A">
        <w:rPr>
          <w:rFonts w:eastAsia="Times New Roman" w:cs="Times New Roman"/>
          <w:szCs w:val="28"/>
          <w:lang w:eastAsia="ru-RU"/>
        </w:rPr>
        <w:t>ходе исполнения бюджета района.</w:t>
      </w:r>
      <w:proofErr w:type="gramEnd"/>
    </w:p>
    <w:p w:rsidR="00665774" w:rsidRDefault="000520D3" w:rsidP="00B8097A">
      <w:pPr>
        <w:tabs>
          <w:tab w:val="left" w:pos="426"/>
        </w:tabs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3F60">
        <w:rPr>
          <w:rFonts w:eastAsia="Times New Roman" w:cs="Times New Roman"/>
          <w:szCs w:val="28"/>
          <w:lang w:eastAsia="ru-RU"/>
        </w:rPr>
        <w:t xml:space="preserve">По результатам контрольных мероприятий должностным лицам органов местного самоуправления, руководителям проверенных </w:t>
      </w:r>
      <w:r w:rsidRPr="00D53F60">
        <w:rPr>
          <w:rFonts w:eastAsia="Times New Roman" w:cs="Times New Roman"/>
          <w:szCs w:val="28"/>
          <w:lang w:eastAsia="ru-RU"/>
        </w:rPr>
        <w:lastRenderedPageBreak/>
        <w:t xml:space="preserve">муниципальных учреждений, направлено </w:t>
      </w:r>
      <w:r w:rsidR="00567746">
        <w:rPr>
          <w:rFonts w:eastAsia="Times New Roman" w:cs="Times New Roman"/>
          <w:szCs w:val="28"/>
          <w:lang w:eastAsia="ru-RU"/>
        </w:rPr>
        <w:t>10</w:t>
      </w:r>
      <w:r w:rsidRPr="00D53F60">
        <w:rPr>
          <w:rFonts w:eastAsia="Times New Roman" w:cs="Times New Roman"/>
          <w:szCs w:val="28"/>
          <w:lang w:eastAsia="ru-RU"/>
        </w:rPr>
        <w:t xml:space="preserve"> представлений Контрольно-счетной палаты с предложениями для принятия мер по устранению выявленных нарушений и недостатков. Информация о принятых мерах по устранению выявленных нарушений с копиями документов проверенными учреждениями представлялась в установленные сроки</w:t>
      </w:r>
      <w:r>
        <w:rPr>
          <w:rFonts w:eastAsia="Times New Roman" w:cs="Times New Roman"/>
          <w:szCs w:val="28"/>
          <w:lang w:eastAsia="ru-RU"/>
        </w:rPr>
        <w:t>.</w:t>
      </w:r>
    </w:p>
    <w:p w:rsidR="00665774" w:rsidRPr="00665774" w:rsidRDefault="00665774" w:rsidP="00B809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</w:t>
      </w:r>
      <w:r w:rsidRPr="00665774">
        <w:rPr>
          <w:rFonts w:eastAsia="Times New Roman" w:cs="Times New Roman"/>
          <w:szCs w:val="28"/>
          <w:lang w:eastAsia="ru-RU"/>
        </w:rPr>
        <w:t>Все материалы проведенных проверок направлялись в прокуратуру</w:t>
      </w:r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665774">
        <w:rPr>
          <w:rFonts w:eastAsia="Times New Roman" w:cs="Times New Roman"/>
          <w:szCs w:val="28"/>
          <w:lang w:eastAsia="ru-RU"/>
        </w:rPr>
        <w:t>.</w:t>
      </w:r>
      <w:r w:rsidR="008A286A">
        <w:rPr>
          <w:rFonts w:eastAsia="Times New Roman" w:cs="Times New Roman"/>
          <w:bCs/>
          <w:szCs w:val="28"/>
          <w:lang w:eastAsia="ru-RU"/>
        </w:rPr>
        <w:t xml:space="preserve"> </w:t>
      </w:r>
      <w:r w:rsidRPr="00665774">
        <w:rPr>
          <w:rFonts w:eastAsia="Times New Roman" w:cs="Times New Roman"/>
          <w:szCs w:val="28"/>
          <w:lang w:eastAsia="ru-RU"/>
        </w:rPr>
        <w:t>Информация о  результатах проведенных проверок регулярно представлялась в Совет Апастовского муниципального района, Главе Апастовского  муниципального района, в Исполнительный комитет, а также информация о деятельности  ежемесячно представляется  в Счетную палату республики.</w:t>
      </w:r>
    </w:p>
    <w:p w:rsidR="00B73179" w:rsidRDefault="00B73179" w:rsidP="00B8097A">
      <w:pPr>
        <w:autoSpaceDE w:val="0"/>
        <w:autoSpaceDN w:val="0"/>
        <w:adjustRightInd w:val="0"/>
        <w:spacing w:before="100" w:beforeAutospacing="1" w:line="36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>Контрольная деятельность</w:t>
      </w:r>
    </w:p>
    <w:p w:rsidR="00A753C1" w:rsidRDefault="00B73179" w:rsidP="00A753C1">
      <w:pPr>
        <w:autoSpaceDE w:val="0"/>
        <w:autoSpaceDN w:val="0"/>
        <w:adjustRightInd w:val="0"/>
        <w:spacing w:before="100" w:beforeAutospacing="1" w:line="360" w:lineRule="auto"/>
        <w:ind w:right="-1" w:firstLine="709"/>
        <w:jc w:val="both"/>
        <w:rPr>
          <w:szCs w:val="28"/>
        </w:rPr>
      </w:pPr>
      <w:r>
        <w:rPr>
          <w:b/>
          <w:szCs w:val="28"/>
        </w:rPr>
        <w:t xml:space="preserve">    </w:t>
      </w:r>
      <w:r>
        <w:t xml:space="preserve"> </w:t>
      </w:r>
      <w:r w:rsidR="00567746">
        <w:rPr>
          <w:szCs w:val="28"/>
        </w:rPr>
        <w:t>В 2021</w:t>
      </w:r>
      <w:r>
        <w:rPr>
          <w:szCs w:val="28"/>
        </w:rPr>
        <w:t xml:space="preserve"> году контрольные мероприятия проводились в соответствии с утвержденным планом в органах местного самоуправления, учреждениях и организациях различных форм собственности, получающих средства из местного бюджета, а также использующих муниципальную собственность. П</w:t>
      </w:r>
      <w:r>
        <w:rPr>
          <w:rFonts w:eastAsia="BatangChe"/>
          <w:szCs w:val="28"/>
        </w:rPr>
        <w:t xml:space="preserve">роведено   </w:t>
      </w:r>
      <w:r w:rsidR="00567746">
        <w:rPr>
          <w:rFonts w:eastAsia="BatangChe"/>
          <w:szCs w:val="28"/>
        </w:rPr>
        <w:t>10</w:t>
      </w:r>
      <w:r>
        <w:rPr>
          <w:rFonts w:eastAsia="BatangChe"/>
          <w:szCs w:val="28"/>
        </w:rPr>
        <w:t xml:space="preserve">  контрольно-ревизионных мероприятий</w:t>
      </w:r>
      <w:r w:rsidR="005250F0">
        <w:rPr>
          <w:rFonts w:eastAsia="BatangChe"/>
          <w:szCs w:val="28"/>
        </w:rPr>
        <w:t>.</w:t>
      </w:r>
      <w:r>
        <w:rPr>
          <w:rFonts w:eastAsia="BatangChe"/>
          <w:szCs w:val="28"/>
        </w:rPr>
        <w:t xml:space="preserve"> </w:t>
      </w:r>
      <w:r>
        <w:rPr>
          <w:szCs w:val="28"/>
        </w:rPr>
        <w:t xml:space="preserve">В ходе проведения контрольных мероприятий выявлен ряд нарушений и недостатков на общую сумму </w:t>
      </w:r>
      <w:r w:rsidR="00567746">
        <w:rPr>
          <w:rFonts w:cs="Times New Roman"/>
          <w:color w:val="000000"/>
          <w:szCs w:val="28"/>
        </w:rPr>
        <w:t>38448</w:t>
      </w:r>
      <w:r>
        <w:rPr>
          <w:szCs w:val="28"/>
        </w:rPr>
        <w:t xml:space="preserve">  тыс. рублей.</w:t>
      </w:r>
    </w:p>
    <w:p w:rsidR="00CD5EC7" w:rsidRPr="00A753C1" w:rsidRDefault="00A753C1" w:rsidP="00A753C1">
      <w:pPr>
        <w:autoSpaceDE w:val="0"/>
        <w:autoSpaceDN w:val="0"/>
        <w:adjustRightInd w:val="0"/>
        <w:spacing w:before="100" w:beforeAutospacing="1" w:line="360" w:lineRule="auto"/>
        <w:ind w:right="-1" w:firstLine="709"/>
        <w:jc w:val="both"/>
        <w:rPr>
          <w:szCs w:val="28"/>
        </w:rPr>
      </w:pPr>
      <w:r>
        <w:rPr>
          <w:szCs w:val="28"/>
        </w:rPr>
        <w:t>Н</w:t>
      </w:r>
      <w:r w:rsidR="00CD5EC7">
        <w:rPr>
          <w:szCs w:val="28"/>
        </w:rPr>
        <w:t xml:space="preserve">еэффективное использование средств местного бюджета составило </w:t>
      </w:r>
      <w:r w:rsidR="00C771BC">
        <w:rPr>
          <w:szCs w:val="28"/>
        </w:rPr>
        <w:t>7 179,9</w:t>
      </w:r>
      <w:r w:rsidR="00CD5EC7">
        <w:rPr>
          <w:szCs w:val="28"/>
        </w:rPr>
        <w:t xml:space="preserve"> тыс. руб. В общем объеме выявленных нарушений большую часть </w:t>
      </w:r>
      <w:r w:rsidR="00C771BC">
        <w:rPr>
          <w:szCs w:val="28"/>
        </w:rPr>
        <w:t>81,6</w:t>
      </w:r>
      <w:r w:rsidR="00CD5EC7">
        <w:rPr>
          <w:szCs w:val="28"/>
        </w:rPr>
        <w:t xml:space="preserve"> % занимают нарушения в сфере управления и распоряжения му</w:t>
      </w:r>
      <w:r w:rsidR="00C771BC">
        <w:rPr>
          <w:szCs w:val="28"/>
        </w:rPr>
        <w:t>ниципальной собственностью, 10,9</w:t>
      </w:r>
      <w:r w:rsidR="00CD5EC7">
        <w:rPr>
          <w:szCs w:val="28"/>
        </w:rPr>
        <w:t xml:space="preserve">% - нарушения </w:t>
      </w:r>
      <w:proofErr w:type="gramStart"/>
      <w:r w:rsidR="00E26D8D">
        <w:rPr>
          <w:szCs w:val="28"/>
        </w:rPr>
        <w:t>при</w:t>
      </w:r>
      <w:proofErr w:type="gramEnd"/>
      <w:r w:rsidR="00E26D8D">
        <w:rPr>
          <w:szCs w:val="28"/>
        </w:rPr>
        <w:t xml:space="preserve"> </w:t>
      </w:r>
      <w:proofErr w:type="gramStart"/>
      <w:r w:rsidR="00E26D8D">
        <w:rPr>
          <w:rFonts w:eastAsia="BatangChe"/>
          <w:szCs w:val="28"/>
        </w:rPr>
        <w:t>ведения</w:t>
      </w:r>
      <w:proofErr w:type="gramEnd"/>
      <w:r w:rsidR="00E26D8D">
        <w:rPr>
          <w:rFonts w:eastAsia="BatangChe"/>
          <w:szCs w:val="28"/>
        </w:rPr>
        <w:t xml:space="preserve"> бухгалтерского учета, составления и представления бухгалтерской (финансовой) отчетности. </w:t>
      </w:r>
    </w:p>
    <w:p w:rsidR="006764D9" w:rsidRDefault="006764D9" w:rsidP="006764D9">
      <w:pPr>
        <w:autoSpaceDE w:val="0"/>
        <w:autoSpaceDN w:val="0"/>
        <w:adjustRightInd w:val="0"/>
        <w:ind w:right="-1" w:firstLine="709"/>
        <w:jc w:val="right"/>
        <w:rPr>
          <w:rFonts w:eastAsia="BatangChe"/>
          <w:szCs w:val="28"/>
        </w:rPr>
      </w:pPr>
      <w:r>
        <w:rPr>
          <w:rFonts w:eastAsia="BatangChe"/>
          <w:szCs w:val="28"/>
        </w:rPr>
        <w:t>диаграмма 1</w:t>
      </w:r>
    </w:p>
    <w:p w:rsidR="006764D9" w:rsidRDefault="0019425B" w:rsidP="00CD5EC7">
      <w:pPr>
        <w:autoSpaceDE w:val="0"/>
        <w:autoSpaceDN w:val="0"/>
        <w:adjustRightInd w:val="0"/>
        <w:ind w:right="-1" w:firstLine="709"/>
        <w:jc w:val="both"/>
        <w:rPr>
          <w:rFonts w:eastAsia="BatangChe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9A1524" wp14:editId="37A058A9">
            <wp:extent cx="5135880" cy="3608070"/>
            <wp:effectExtent l="0" t="0" r="266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52D1" w:rsidRDefault="007152D1" w:rsidP="002E45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Нарушения при распоряжении и использовании муниципа</w:t>
      </w:r>
      <w:r w:rsidR="00B8097A">
        <w:rPr>
          <w:szCs w:val="28"/>
        </w:rPr>
        <w:t>льной собственности составили 81,6</w:t>
      </w:r>
      <w:r>
        <w:rPr>
          <w:szCs w:val="28"/>
        </w:rPr>
        <w:t>% от общего объема нарушений, что выразилось в  неэффективном использовании муниципального имущества,  в наличии несписанного неисправного имущества, не проведении инвентаризации.</w:t>
      </w:r>
    </w:p>
    <w:p w:rsidR="00906379" w:rsidRDefault="007152D1" w:rsidP="002E45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отчетности, выразились в искажении стоимости имущества в бухгалтерском учете и отчетности, несвоевременном отражении имущества, материальных запасов на соответствующих балансовых счетах.       </w:t>
      </w:r>
    </w:p>
    <w:p w:rsidR="009235C6" w:rsidRPr="009235C6" w:rsidRDefault="009235C6" w:rsidP="002E45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Проведенные проверки</w:t>
      </w:r>
      <w:r w:rsidRPr="009235C6">
        <w:rPr>
          <w:rFonts w:eastAsia="Times New Roman" w:cs="Times New Roman"/>
          <w:szCs w:val="28"/>
          <w:lang w:eastAsia="ru-RU"/>
        </w:rPr>
        <w:t xml:space="preserve"> показывают, что использование бюджетных средств осуществлялось не в полной мере эффективно:</w:t>
      </w:r>
    </w:p>
    <w:p w:rsidR="009235C6" w:rsidRPr="009235C6" w:rsidRDefault="009235C6" w:rsidP="002E45E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35C6">
        <w:rPr>
          <w:rFonts w:eastAsia="Times New Roman" w:cs="Times New Roman"/>
          <w:szCs w:val="28"/>
          <w:lang w:eastAsia="ru-RU"/>
        </w:rPr>
        <w:t>- осуществлялась передача помещения без заключения договора аренды;</w:t>
      </w:r>
    </w:p>
    <w:p w:rsidR="009235C6" w:rsidRPr="009235C6" w:rsidRDefault="009235C6" w:rsidP="002E45E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35C6">
        <w:rPr>
          <w:rFonts w:eastAsia="Times New Roman" w:cs="Times New Roman"/>
          <w:szCs w:val="28"/>
          <w:lang w:eastAsia="ru-RU"/>
        </w:rPr>
        <w:t>- осуществлялась оплата коммунальных услуг, потребленных сторонними организациями;</w:t>
      </w:r>
    </w:p>
    <w:p w:rsidR="009235C6" w:rsidRPr="009235C6" w:rsidRDefault="009235C6" w:rsidP="002E45E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35C6">
        <w:rPr>
          <w:rFonts w:eastAsia="Times New Roman" w:cs="Times New Roman"/>
          <w:szCs w:val="28"/>
          <w:lang w:eastAsia="ru-RU"/>
        </w:rPr>
        <w:t>- произведена оплата пеней (штрафов) за несвоевременное перечисление налоговых и иных обязательных платежей;</w:t>
      </w:r>
    </w:p>
    <w:p w:rsidR="009235C6" w:rsidRPr="009235C6" w:rsidRDefault="009235C6" w:rsidP="002E45E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35C6">
        <w:rPr>
          <w:rFonts w:eastAsia="Times New Roman" w:cs="Times New Roman"/>
          <w:szCs w:val="28"/>
          <w:lang w:eastAsia="ru-RU"/>
        </w:rPr>
        <w:lastRenderedPageBreak/>
        <w:t>-не обеспечено принятие в муниципальную собственность (к бухгалтерскому учету) безвозмездно полученного имущества;</w:t>
      </w:r>
    </w:p>
    <w:p w:rsidR="009235C6" w:rsidRPr="009235C6" w:rsidRDefault="009235C6" w:rsidP="002E45EC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9235C6">
        <w:rPr>
          <w:rFonts w:eastAsia="Times New Roman" w:cs="Times New Roman"/>
          <w:szCs w:val="28"/>
          <w:lang w:eastAsia="ru-RU"/>
        </w:rPr>
        <w:t>- выявлены не используемые длительное время здания, оборудование</w:t>
      </w:r>
      <w:r w:rsidRPr="009235C6">
        <w:rPr>
          <w:rFonts w:eastAsia="Times New Roman" w:cs="Times New Roman"/>
          <w:i/>
          <w:szCs w:val="28"/>
          <w:lang w:eastAsia="ru-RU"/>
        </w:rPr>
        <w:t>.</w:t>
      </w:r>
    </w:p>
    <w:p w:rsidR="009235C6" w:rsidRPr="000B7CFB" w:rsidRDefault="00906379" w:rsidP="002E45EC">
      <w:pPr>
        <w:autoSpaceDN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итогам всех контрольных мероприятий проведенных Контрольно-счетной палатой, </w:t>
      </w:r>
      <w:r w:rsidRPr="00D53F60">
        <w:rPr>
          <w:rFonts w:eastAsia="Times New Roman" w:cs="Times New Roman"/>
          <w:szCs w:val="28"/>
          <w:lang w:eastAsia="ru-RU"/>
        </w:rPr>
        <w:t xml:space="preserve">объем выявленных </w:t>
      </w:r>
      <w:r>
        <w:rPr>
          <w:rFonts w:eastAsia="Times New Roman" w:cs="Times New Roman"/>
          <w:szCs w:val="28"/>
          <w:lang w:eastAsia="ru-RU"/>
        </w:rPr>
        <w:t xml:space="preserve">финансовых </w:t>
      </w:r>
      <w:r w:rsidRPr="00D53F60">
        <w:rPr>
          <w:rFonts w:eastAsia="Times New Roman" w:cs="Times New Roman"/>
          <w:szCs w:val="28"/>
          <w:lang w:eastAsia="ru-RU"/>
        </w:rPr>
        <w:t xml:space="preserve">нарушений </w:t>
      </w:r>
      <w:r>
        <w:rPr>
          <w:rFonts w:eastAsia="Times New Roman" w:cs="Times New Roman"/>
          <w:szCs w:val="28"/>
          <w:lang w:eastAsia="ru-RU"/>
        </w:rPr>
        <w:t xml:space="preserve">в стоимостном выражении </w:t>
      </w:r>
      <w:r w:rsidRPr="00D53F60">
        <w:rPr>
          <w:rFonts w:eastAsia="Times New Roman" w:cs="Times New Roman"/>
          <w:szCs w:val="28"/>
          <w:lang w:eastAsia="ru-RU"/>
        </w:rPr>
        <w:t xml:space="preserve">составил </w:t>
      </w:r>
      <w:r w:rsidR="00B8097A">
        <w:rPr>
          <w:rFonts w:eastAsia="Times New Roman" w:cs="Times New Roman"/>
          <w:szCs w:val="28"/>
          <w:lang w:eastAsia="ru-RU"/>
        </w:rPr>
        <w:t>38448</w:t>
      </w:r>
      <w:r w:rsidRPr="00D53F60">
        <w:rPr>
          <w:rFonts w:eastAsia="Times New Roman" w:cs="Times New Roman"/>
          <w:szCs w:val="28"/>
          <w:lang w:eastAsia="ru-RU"/>
        </w:rPr>
        <w:t xml:space="preserve"> тыс. рублей. </w:t>
      </w:r>
      <w:r w:rsidRPr="00E160FD">
        <w:rPr>
          <w:rFonts w:eastAsia="Times New Roman" w:cs="Times New Roman"/>
          <w:szCs w:val="28"/>
          <w:lang w:eastAsia="ru-RU"/>
        </w:rPr>
        <w:t xml:space="preserve">Предложения по устранению нарушений и недопущению их впредь изложены в представлениях Контрольно-счетной палаты. </w:t>
      </w:r>
      <w:r>
        <w:rPr>
          <w:rFonts w:eastAsia="Times New Roman" w:cs="Times New Roman"/>
          <w:szCs w:val="28"/>
          <w:lang w:eastAsia="ru-RU"/>
        </w:rPr>
        <w:t>П</w:t>
      </w:r>
      <w:r w:rsidRPr="002A4BCD">
        <w:rPr>
          <w:rFonts w:eastAsia="Times New Roman" w:cs="Times New Roman"/>
          <w:szCs w:val="28"/>
          <w:lang w:eastAsia="ru-RU"/>
        </w:rPr>
        <w:t xml:space="preserve">ринято мер по устранению нарушений </w:t>
      </w:r>
      <w:r>
        <w:rPr>
          <w:rFonts w:eastAsia="Times New Roman" w:cs="Times New Roman"/>
          <w:szCs w:val="28"/>
          <w:lang w:eastAsia="ru-RU"/>
        </w:rPr>
        <w:t xml:space="preserve">и недостатков </w:t>
      </w:r>
      <w:r w:rsidRPr="002A4BCD">
        <w:rPr>
          <w:rFonts w:eastAsia="Times New Roman" w:cs="Times New Roman"/>
          <w:szCs w:val="28"/>
          <w:lang w:eastAsia="ru-RU"/>
        </w:rPr>
        <w:t xml:space="preserve">в стоимостной оценке в сумме </w:t>
      </w:r>
      <w:r w:rsidR="00B8097A">
        <w:rPr>
          <w:rFonts w:eastAsia="Times New Roman" w:cs="Times New Roman"/>
          <w:szCs w:val="28"/>
          <w:lang w:eastAsia="ru-RU"/>
        </w:rPr>
        <w:t>32680,8</w:t>
      </w:r>
      <w:r w:rsidRPr="002A4BCD">
        <w:rPr>
          <w:rFonts w:eastAsia="Times New Roman" w:cs="Times New Roman"/>
          <w:szCs w:val="28"/>
          <w:lang w:eastAsia="ru-RU"/>
        </w:rPr>
        <w:t xml:space="preserve"> тыс. рублей или </w:t>
      </w:r>
      <w:r w:rsidR="00B8097A">
        <w:rPr>
          <w:rFonts w:eastAsia="Times New Roman" w:cs="Times New Roman"/>
          <w:szCs w:val="28"/>
          <w:lang w:eastAsia="ru-RU"/>
        </w:rPr>
        <w:t>85,0</w:t>
      </w:r>
      <w:r w:rsidRPr="002A4BCD">
        <w:rPr>
          <w:rFonts w:eastAsia="Times New Roman" w:cs="Times New Roman"/>
          <w:szCs w:val="28"/>
          <w:lang w:eastAsia="ru-RU"/>
        </w:rPr>
        <w:t xml:space="preserve"> % к общему объему выявленных нарушений</w:t>
      </w:r>
      <w:r>
        <w:rPr>
          <w:rFonts w:eastAsia="Times New Roman" w:cs="Times New Roman"/>
          <w:szCs w:val="28"/>
          <w:lang w:eastAsia="ru-RU"/>
        </w:rPr>
        <w:t>.</w:t>
      </w:r>
      <w:r w:rsidRPr="002A4BCD">
        <w:rPr>
          <w:rFonts w:eastAsia="Times New Roman" w:cs="Times New Roman"/>
          <w:szCs w:val="28"/>
          <w:lang w:eastAsia="ru-RU"/>
        </w:rPr>
        <w:t xml:space="preserve"> </w:t>
      </w:r>
      <w:r w:rsidRPr="000B7CFB">
        <w:rPr>
          <w:rFonts w:eastAsia="Times New Roman" w:cs="Times New Roman"/>
          <w:szCs w:val="28"/>
          <w:lang w:eastAsia="ru-RU"/>
        </w:rPr>
        <w:t xml:space="preserve">Из них восстановлено в бюджет и произведены корректировки на сумму </w:t>
      </w:r>
      <w:r w:rsidR="000B7CFB" w:rsidRPr="000B7CFB">
        <w:rPr>
          <w:rFonts w:eastAsia="Times New Roman" w:cs="Times New Roman"/>
          <w:szCs w:val="28"/>
          <w:lang w:eastAsia="ru-RU"/>
        </w:rPr>
        <w:t>19,5</w:t>
      </w:r>
      <w:r w:rsidRPr="000B7CFB">
        <w:rPr>
          <w:rFonts w:eastAsia="Times New Roman" w:cs="Times New Roman"/>
          <w:szCs w:val="28"/>
          <w:lang w:eastAsia="ru-RU"/>
        </w:rPr>
        <w:t xml:space="preserve"> тыс. рублей.</w:t>
      </w:r>
    </w:p>
    <w:p w:rsidR="00CB1569" w:rsidRDefault="00CB1569" w:rsidP="008A286A">
      <w:pPr>
        <w:autoSpaceDN w:val="0"/>
        <w:spacing w:after="0" w:line="240" w:lineRule="auto"/>
        <w:ind w:firstLine="709"/>
        <w:jc w:val="both"/>
        <w:rPr>
          <w:szCs w:val="28"/>
        </w:rPr>
      </w:pPr>
    </w:p>
    <w:p w:rsidR="00CB1569" w:rsidRDefault="00CB1569" w:rsidP="008A286A">
      <w:pPr>
        <w:autoSpaceDN w:val="0"/>
        <w:spacing w:after="0" w:line="240" w:lineRule="auto"/>
        <w:ind w:firstLine="709"/>
        <w:jc w:val="both"/>
        <w:rPr>
          <w:szCs w:val="28"/>
        </w:rPr>
      </w:pPr>
    </w:p>
    <w:p w:rsidR="00CB1569" w:rsidRPr="00D53F60" w:rsidRDefault="00CB1569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Экспертно-аналитическая</w:t>
      </w:r>
      <w:r w:rsidRPr="00D53F60">
        <w:rPr>
          <w:rFonts w:eastAsia="Times New Roman" w:cs="Times New Roman"/>
          <w:b/>
          <w:szCs w:val="28"/>
          <w:lang w:eastAsia="ru-RU"/>
        </w:rPr>
        <w:t xml:space="preserve"> деятельность</w:t>
      </w:r>
    </w:p>
    <w:p w:rsidR="00CB1569" w:rsidRPr="00D53F60" w:rsidRDefault="00CB1569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CB1569" w:rsidRPr="00833233" w:rsidRDefault="00CB1569" w:rsidP="002E45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3233">
        <w:rPr>
          <w:rFonts w:eastAsia="Times New Roman" w:cs="Times New Roman"/>
          <w:szCs w:val="28"/>
          <w:lang w:eastAsia="ru-RU"/>
        </w:rPr>
        <w:t xml:space="preserve">Одним из основных полномочий </w:t>
      </w:r>
      <w:r>
        <w:rPr>
          <w:rFonts w:eastAsia="Times New Roman" w:cs="Times New Roman"/>
          <w:szCs w:val="28"/>
          <w:lang w:eastAsia="ru-RU"/>
        </w:rPr>
        <w:t xml:space="preserve"> Контрольно-счетной палаты </w:t>
      </w:r>
      <w:r w:rsidRPr="00833233">
        <w:rPr>
          <w:rFonts w:eastAsia="Times New Roman" w:cs="Times New Roman"/>
          <w:szCs w:val="28"/>
          <w:lang w:eastAsia="ru-RU"/>
        </w:rPr>
        <w:t>является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83323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833233">
        <w:rPr>
          <w:rFonts w:eastAsia="Times New Roman" w:cs="Times New Roman"/>
          <w:szCs w:val="28"/>
          <w:lang w:eastAsia="ru-RU"/>
        </w:rPr>
        <w:t xml:space="preserve"> исполнением бюджета </w:t>
      </w:r>
      <w:r>
        <w:rPr>
          <w:rFonts w:eastAsia="Times New Roman" w:cs="Times New Roman"/>
          <w:szCs w:val="28"/>
          <w:lang w:eastAsia="ru-RU"/>
        </w:rPr>
        <w:t>района</w:t>
      </w:r>
      <w:r w:rsidRPr="00833233">
        <w:rPr>
          <w:rFonts w:eastAsia="Times New Roman" w:cs="Times New Roman"/>
          <w:szCs w:val="28"/>
          <w:lang w:eastAsia="ru-RU"/>
        </w:rPr>
        <w:t>, осуществляемый в форме аналитических мероприятий по полноте зачисления доходных источников, обоснованности использования бюджетных средств, достоверности отчетных данных об исполнении бюджета и бюджетной отчетности.</w:t>
      </w:r>
    </w:p>
    <w:p w:rsidR="00CB1569" w:rsidRDefault="00CB1569" w:rsidP="002E45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3F60">
        <w:rPr>
          <w:rFonts w:eastAsia="Times New Roman" w:cs="Times New Roman"/>
          <w:szCs w:val="28"/>
          <w:lang w:eastAsia="ru-RU"/>
        </w:rPr>
        <w:t>Экспертно</w:t>
      </w:r>
      <w:r>
        <w:rPr>
          <w:rFonts w:eastAsia="Times New Roman" w:cs="Times New Roman"/>
          <w:szCs w:val="28"/>
          <w:lang w:eastAsia="ru-RU"/>
        </w:rPr>
        <w:t>-</w:t>
      </w:r>
      <w:r w:rsidRPr="00D53F60">
        <w:rPr>
          <w:rFonts w:eastAsia="Times New Roman" w:cs="Times New Roman"/>
          <w:szCs w:val="28"/>
          <w:lang w:eastAsia="ru-RU"/>
        </w:rPr>
        <w:t>аналитическая деятельность Контрольно-счетной палаты направлена на обеспечение внешнего финансового контроля при приняти</w:t>
      </w:r>
      <w:r>
        <w:rPr>
          <w:rFonts w:eastAsia="Times New Roman" w:cs="Times New Roman"/>
          <w:szCs w:val="28"/>
          <w:lang w:eastAsia="ru-RU"/>
        </w:rPr>
        <w:t>и</w:t>
      </w:r>
      <w:r w:rsidRPr="00D53F60">
        <w:rPr>
          <w:rFonts w:eastAsia="Times New Roman" w:cs="Times New Roman"/>
          <w:szCs w:val="28"/>
          <w:lang w:eastAsia="ru-RU"/>
        </w:rPr>
        <w:t xml:space="preserve"> решения о бюджете </w:t>
      </w:r>
      <w:r>
        <w:rPr>
          <w:rFonts w:eastAsia="Times New Roman" w:cs="Times New Roman"/>
          <w:szCs w:val="28"/>
          <w:lang w:eastAsia="ru-RU"/>
        </w:rPr>
        <w:t>Апастовского</w:t>
      </w:r>
      <w:r w:rsidRPr="00D53F60">
        <w:rPr>
          <w:rFonts w:eastAsia="Times New Roman" w:cs="Times New Roman"/>
          <w:szCs w:val="28"/>
          <w:lang w:eastAsia="ru-RU"/>
        </w:rPr>
        <w:t xml:space="preserve"> муниципального района, контроля исполнения бюджета, а также утверждения отчета о его исполнении.</w:t>
      </w:r>
    </w:p>
    <w:p w:rsidR="00794827" w:rsidRPr="00D53F60" w:rsidRDefault="00794827" w:rsidP="002E45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3F60">
        <w:rPr>
          <w:rFonts w:eastAsia="Times New Roman" w:cs="Times New Roman"/>
          <w:szCs w:val="28"/>
          <w:lang w:eastAsia="ru-RU"/>
        </w:rPr>
        <w:t>В рамках бюджетных полномочий палатой осуществлен необходимый комплекс экспертно-аналит</w:t>
      </w:r>
      <w:r>
        <w:rPr>
          <w:rFonts w:eastAsia="Times New Roman" w:cs="Times New Roman"/>
          <w:szCs w:val="28"/>
          <w:lang w:eastAsia="ru-RU"/>
        </w:rPr>
        <w:t>и</w:t>
      </w:r>
      <w:r w:rsidR="00B8097A">
        <w:rPr>
          <w:rFonts w:eastAsia="Times New Roman" w:cs="Times New Roman"/>
          <w:szCs w:val="28"/>
          <w:lang w:eastAsia="ru-RU"/>
        </w:rPr>
        <w:t>ческих мероприятий. Всего в 2021</w:t>
      </w:r>
      <w:r w:rsidRPr="00D53F60">
        <w:rPr>
          <w:rFonts w:eastAsia="Times New Roman" w:cs="Times New Roman"/>
          <w:szCs w:val="28"/>
          <w:lang w:eastAsia="ru-RU"/>
        </w:rPr>
        <w:t xml:space="preserve"> году проведено </w:t>
      </w:r>
      <w:r w:rsidR="00B8097A">
        <w:rPr>
          <w:rFonts w:eastAsia="Times New Roman" w:cs="Times New Roman"/>
          <w:szCs w:val="28"/>
          <w:lang w:eastAsia="ru-RU"/>
        </w:rPr>
        <w:t>53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3F60">
        <w:rPr>
          <w:rFonts w:eastAsia="Times New Roman" w:cs="Times New Roman"/>
          <w:szCs w:val="28"/>
          <w:lang w:eastAsia="ru-RU"/>
        </w:rPr>
        <w:t xml:space="preserve">экспертно-аналитических мероприятий, по результатам которых </w:t>
      </w:r>
      <w:proofErr w:type="gramStart"/>
      <w:r w:rsidRPr="00D53F60">
        <w:rPr>
          <w:rFonts w:eastAsia="Times New Roman" w:cs="Times New Roman"/>
          <w:szCs w:val="28"/>
          <w:lang w:eastAsia="ru-RU"/>
        </w:rPr>
        <w:t>подготовлены</w:t>
      </w:r>
      <w:proofErr w:type="gramEnd"/>
      <w:r w:rsidRPr="00D53F60">
        <w:rPr>
          <w:rFonts w:eastAsia="Times New Roman" w:cs="Times New Roman"/>
          <w:szCs w:val="28"/>
          <w:lang w:eastAsia="ru-RU"/>
        </w:rPr>
        <w:t xml:space="preserve">: </w:t>
      </w:r>
    </w:p>
    <w:p w:rsidR="00794827" w:rsidRPr="00D53F60" w:rsidRDefault="00794827" w:rsidP="002E45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3F60">
        <w:rPr>
          <w:rFonts w:eastAsia="Times New Roman" w:cs="Times New Roman"/>
          <w:szCs w:val="28"/>
          <w:lang w:eastAsia="ru-RU"/>
        </w:rPr>
        <w:t xml:space="preserve">- заключение на отчет об исполнении бюджета </w:t>
      </w:r>
      <w:r>
        <w:rPr>
          <w:rFonts w:eastAsia="Times New Roman" w:cs="Times New Roman"/>
          <w:szCs w:val="28"/>
          <w:lang w:eastAsia="ru-RU"/>
        </w:rPr>
        <w:t>Апастовского</w:t>
      </w:r>
      <w:r w:rsidR="00B8097A">
        <w:rPr>
          <w:rFonts w:eastAsia="Times New Roman" w:cs="Times New Roman"/>
          <w:szCs w:val="28"/>
          <w:lang w:eastAsia="ru-RU"/>
        </w:rPr>
        <w:t xml:space="preserve"> муниципального района за 2020</w:t>
      </w:r>
      <w:r w:rsidRPr="00D53F60">
        <w:rPr>
          <w:rFonts w:eastAsia="Times New Roman" w:cs="Times New Roman"/>
          <w:szCs w:val="28"/>
          <w:lang w:eastAsia="ru-RU"/>
        </w:rPr>
        <w:t xml:space="preserve"> год; </w:t>
      </w:r>
    </w:p>
    <w:p w:rsidR="00794827" w:rsidRPr="00D53F60" w:rsidRDefault="00794827" w:rsidP="002E45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3F60">
        <w:rPr>
          <w:rFonts w:eastAsia="Times New Roman" w:cs="Times New Roman"/>
          <w:szCs w:val="28"/>
          <w:lang w:eastAsia="ru-RU"/>
        </w:rPr>
        <w:t xml:space="preserve">- заключения о ходе ежеквартального исполнения районного бюджета </w:t>
      </w:r>
      <w:r>
        <w:rPr>
          <w:rFonts w:eastAsia="Times New Roman" w:cs="Times New Roman"/>
          <w:szCs w:val="28"/>
          <w:lang w:eastAsia="ru-RU"/>
        </w:rPr>
        <w:t>в текущем финансовом году</w:t>
      </w:r>
      <w:r w:rsidRPr="00D53F60">
        <w:rPr>
          <w:rFonts w:eastAsia="Times New Roman" w:cs="Times New Roman"/>
          <w:szCs w:val="28"/>
          <w:lang w:eastAsia="ru-RU"/>
        </w:rPr>
        <w:t xml:space="preserve">; </w:t>
      </w:r>
    </w:p>
    <w:p w:rsidR="00794827" w:rsidRPr="00D53F60" w:rsidRDefault="00794827" w:rsidP="002E45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3F60">
        <w:rPr>
          <w:rFonts w:eastAsia="Times New Roman" w:cs="Times New Roman"/>
          <w:szCs w:val="28"/>
          <w:lang w:eastAsia="ru-RU"/>
        </w:rPr>
        <w:lastRenderedPageBreak/>
        <w:t xml:space="preserve">- заключение на проект решения Совета </w:t>
      </w:r>
      <w:r>
        <w:rPr>
          <w:rFonts w:eastAsia="Times New Roman" w:cs="Times New Roman"/>
          <w:szCs w:val="28"/>
          <w:lang w:eastAsia="ru-RU"/>
        </w:rPr>
        <w:t>Апастовского</w:t>
      </w:r>
      <w:r w:rsidRPr="00D53F60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r>
        <w:rPr>
          <w:rFonts w:eastAsia="Times New Roman" w:cs="Times New Roman"/>
          <w:szCs w:val="28"/>
          <w:lang w:eastAsia="ru-RU"/>
        </w:rPr>
        <w:t>«</w:t>
      </w:r>
      <w:r w:rsidRPr="00D605BF">
        <w:rPr>
          <w:rFonts w:eastAsia="Times New Roman" w:cs="Times New Roman"/>
          <w:szCs w:val="28"/>
          <w:lang w:eastAsia="ru-RU"/>
        </w:rPr>
        <w:t xml:space="preserve">О бюджете </w:t>
      </w:r>
      <w:r>
        <w:rPr>
          <w:rFonts w:eastAsia="Times New Roman" w:cs="Times New Roman"/>
          <w:szCs w:val="28"/>
          <w:lang w:eastAsia="ru-RU"/>
        </w:rPr>
        <w:t>Апастовского</w:t>
      </w:r>
      <w:r w:rsidRPr="00D605BF">
        <w:rPr>
          <w:rFonts w:eastAsia="Times New Roman" w:cs="Times New Roman"/>
          <w:szCs w:val="28"/>
          <w:lang w:eastAsia="ru-RU"/>
        </w:rPr>
        <w:t xml:space="preserve"> муниципального райо</w:t>
      </w:r>
      <w:r w:rsidR="00B8097A">
        <w:rPr>
          <w:rFonts w:eastAsia="Times New Roman" w:cs="Times New Roman"/>
          <w:szCs w:val="28"/>
          <w:lang w:eastAsia="ru-RU"/>
        </w:rPr>
        <w:t>на  Республики Татарстан на 2022 год и плановый период 2023 и 2024</w:t>
      </w:r>
      <w:r w:rsidRPr="00D605BF">
        <w:rPr>
          <w:rFonts w:eastAsia="Times New Roman" w:cs="Times New Roman"/>
          <w:szCs w:val="28"/>
          <w:lang w:eastAsia="ru-RU"/>
        </w:rPr>
        <w:t xml:space="preserve"> годов</w:t>
      </w:r>
      <w:r w:rsidR="00F63354">
        <w:rPr>
          <w:rFonts w:eastAsia="Times New Roman" w:cs="Times New Roman"/>
          <w:szCs w:val="28"/>
          <w:lang w:eastAsia="ru-RU"/>
        </w:rPr>
        <w:t>».</w:t>
      </w:r>
    </w:p>
    <w:p w:rsidR="00F63354" w:rsidRDefault="00F63354" w:rsidP="00F633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</w:t>
      </w:r>
      <w:r w:rsidR="006764D9" w:rsidRPr="006764D9">
        <w:rPr>
          <w:rFonts w:eastAsia="Times New Roman" w:cs="Times New Roman"/>
          <w:szCs w:val="28"/>
          <w:lang w:eastAsia="ru-RU"/>
        </w:rPr>
        <w:t>В рамках последующего контроля в соответствии требованиями статьи 264.4 Бюджетного кодекса Российской Федерации проведена внешняя проверка отчета об исполнении бюджета Апастовско</w:t>
      </w:r>
      <w:r w:rsidR="00B8097A">
        <w:rPr>
          <w:rFonts w:eastAsia="Times New Roman" w:cs="Times New Roman"/>
          <w:szCs w:val="28"/>
          <w:lang w:eastAsia="ru-RU"/>
        </w:rPr>
        <w:t>го муниципального района за 2020</w:t>
      </w:r>
      <w:r w:rsidR="006764D9" w:rsidRPr="006764D9">
        <w:rPr>
          <w:rFonts w:eastAsia="Times New Roman" w:cs="Times New Roman"/>
          <w:szCs w:val="28"/>
          <w:lang w:eastAsia="ru-RU"/>
        </w:rPr>
        <w:t xml:space="preserve">  год и внешняя проверка отчетов об исполнении бюджет</w:t>
      </w:r>
      <w:r w:rsidR="00B8097A">
        <w:rPr>
          <w:rFonts w:eastAsia="Times New Roman" w:cs="Times New Roman"/>
          <w:szCs w:val="28"/>
          <w:lang w:eastAsia="ru-RU"/>
        </w:rPr>
        <w:t>ов 22 сельских поселений за 2020</w:t>
      </w:r>
      <w:r w:rsidR="006764D9" w:rsidRPr="006764D9">
        <w:rPr>
          <w:rFonts w:eastAsia="Times New Roman" w:cs="Times New Roman"/>
          <w:szCs w:val="28"/>
          <w:lang w:eastAsia="ru-RU"/>
        </w:rPr>
        <w:t xml:space="preserve"> год.</w:t>
      </w:r>
    </w:p>
    <w:p w:rsidR="00895353" w:rsidRPr="002E45EC" w:rsidRDefault="00895353" w:rsidP="002E45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Годовые отчеты для проведения внешней проверки представлены в установленные сроки, перечень представленных документов в основном соответствует установленному составу бюджетной отчётности (ст. 264.4.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Бюджетного кодекса Российской Федерации). </w:t>
      </w:r>
      <w:proofErr w:type="gramEnd"/>
    </w:p>
    <w:p w:rsidR="009629C7" w:rsidRDefault="00E24C27" w:rsidP="002E45EC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53F60">
        <w:rPr>
          <w:rFonts w:eastAsia="Times New Roman" w:cs="Times New Roman"/>
          <w:szCs w:val="28"/>
          <w:lang w:eastAsia="ru-RU"/>
        </w:rPr>
        <w:t xml:space="preserve">При подготовке заключения на проект решения «О бюджете </w:t>
      </w:r>
      <w:r>
        <w:rPr>
          <w:rFonts w:eastAsia="Times New Roman" w:cs="Times New Roman"/>
          <w:szCs w:val="28"/>
          <w:lang w:eastAsia="ru-RU"/>
        </w:rPr>
        <w:t>Апастовского</w:t>
      </w:r>
      <w:r w:rsidRPr="00D53F60">
        <w:rPr>
          <w:rFonts w:eastAsia="Times New Roman" w:cs="Times New Roman"/>
          <w:szCs w:val="28"/>
          <w:lang w:eastAsia="ru-RU"/>
        </w:rPr>
        <w:t xml:space="preserve"> муниципального района  Республики Татарстан на 20</w:t>
      </w:r>
      <w:r w:rsidR="00B8097A">
        <w:rPr>
          <w:rFonts w:eastAsia="Times New Roman" w:cs="Times New Roman"/>
          <w:szCs w:val="28"/>
          <w:lang w:eastAsia="ru-RU"/>
        </w:rPr>
        <w:t>22</w:t>
      </w:r>
      <w:r w:rsidRPr="00D53F60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B8097A">
        <w:rPr>
          <w:rFonts w:eastAsia="Times New Roman" w:cs="Times New Roman"/>
          <w:szCs w:val="28"/>
          <w:lang w:eastAsia="ru-RU"/>
        </w:rPr>
        <w:t>3 и 2024</w:t>
      </w:r>
      <w:r w:rsidRPr="00D53F60">
        <w:rPr>
          <w:rFonts w:eastAsia="Times New Roman" w:cs="Times New Roman"/>
          <w:szCs w:val="28"/>
          <w:lang w:eastAsia="ru-RU"/>
        </w:rPr>
        <w:t xml:space="preserve"> годов» рассматривалось соответствие проекта  решения действующему законодательству, основные характеристики бюджета, резервы увеличения собственных доходов бюджета, распределение бюджетных ассигнований для решения вопросов местного значения, анализ основных показателей прогноза социально-экономического развития </w:t>
      </w:r>
      <w:r>
        <w:rPr>
          <w:rFonts w:eastAsia="Times New Roman" w:cs="Times New Roman"/>
          <w:szCs w:val="28"/>
          <w:lang w:eastAsia="ru-RU"/>
        </w:rPr>
        <w:t>Апастовско</w:t>
      </w:r>
      <w:r w:rsidR="00B8097A">
        <w:rPr>
          <w:rFonts w:eastAsia="Times New Roman" w:cs="Times New Roman"/>
          <w:szCs w:val="28"/>
          <w:lang w:eastAsia="ru-RU"/>
        </w:rPr>
        <w:t>го муниципального района на 2022</w:t>
      </w:r>
      <w:r>
        <w:rPr>
          <w:rFonts w:eastAsia="Times New Roman" w:cs="Times New Roman"/>
          <w:szCs w:val="28"/>
          <w:lang w:eastAsia="ru-RU"/>
        </w:rPr>
        <w:t>-</w:t>
      </w:r>
      <w:r w:rsidRPr="00D53F60">
        <w:rPr>
          <w:rFonts w:eastAsia="Times New Roman" w:cs="Times New Roman"/>
          <w:szCs w:val="28"/>
          <w:lang w:eastAsia="ru-RU"/>
        </w:rPr>
        <w:t>202</w:t>
      </w:r>
      <w:r w:rsidR="00B8097A">
        <w:rPr>
          <w:rFonts w:eastAsia="Times New Roman" w:cs="Times New Roman"/>
          <w:szCs w:val="28"/>
          <w:lang w:eastAsia="ru-RU"/>
        </w:rPr>
        <w:t>4</w:t>
      </w:r>
      <w:r w:rsidRPr="00D53F60">
        <w:rPr>
          <w:rFonts w:eastAsia="Times New Roman" w:cs="Times New Roman"/>
          <w:szCs w:val="28"/>
          <w:lang w:eastAsia="ru-RU"/>
        </w:rPr>
        <w:t xml:space="preserve"> годы,</w:t>
      </w:r>
      <w:r w:rsidRPr="00D53F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D53F60">
        <w:rPr>
          <w:rFonts w:eastAsia="Times New Roman" w:cs="Times New Roman"/>
          <w:szCs w:val="28"/>
          <w:lang w:eastAsia="ru-RU"/>
        </w:rPr>
        <w:t>а также осуществления</w:t>
      </w:r>
      <w:proofErr w:type="gramEnd"/>
      <w:r w:rsidRPr="00D53F60">
        <w:rPr>
          <w:rFonts w:eastAsia="Times New Roman" w:cs="Times New Roman"/>
          <w:szCs w:val="28"/>
          <w:lang w:eastAsia="ru-RU"/>
        </w:rPr>
        <w:t xml:space="preserve"> программных и непрограммных расходов бюджета.</w:t>
      </w:r>
      <w:r w:rsidRPr="00D53F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3F60">
        <w:rPr>
          <w:rFonts w:eastAsia="Times New Roman" w:cs="Times New Roman"/>
          <w:szCs w:val="28"/>
          <w:lang w:eastAsia="ru-RU"/>
        </w:rPr>
        <w:t>В ходе экспертизы оценивалось состояние документов, составляющих основу формирования и порядок расчетов основных показателей, проанализированы прогнозные экономические показатели, принятые за основу в расчетах доходов бюджета. По итогам экспертизы дано заключение о соответствии проекта решения о бюджете  требованиям, установленным статьей 184.1 Бюджетно</w:t>
      </w:r>
      <w:r>
        <w:rPr>
          <w:rFonts w:eastAsia="Times New Roman" w:cs="Times New Roman"/>
          <w:szCs w:val="28"/>
          <w:lang w:eastAsia="ru-RU"/>
        </w:rPr>
        <w:t xml:space="preserve">го кодекса Российской Федерации. </w:t>
      </w:r>
      <w:r w:rsidR="009629C7" w:rsidRPr="00D53F60">
        <w:rPr>
          <w:rFonts w:eastAsia="Times New Roman" w:cs="Times New Roman"/>
          <w:szCs w:val="28"/>
          <w:lang w:eastAsia="ru-RU"/>
        </w:rPr>
        <w:t xml:space="preserve">Контрольно-счетной палатой проведена экспертиза и подготовлены заключения на проекты решений о </w:t>
      </w:r>
      <w:r w:rsidR="009629C7" w:rsidRPr="008005D4">
        <w:rPr>
          <w:rFonts w:eastAsia="Times New Roman" w:cs="Times New Roman"/>
          <w:szCs w:val="28"/>
          <w:lang w:eastAsia="ru-RU"/>
        </w:rPr>
        <w:t xml:space="preserve">бюджетах 22 сельских поселений района. Экспертиза проектов бюджетов сельских поселений проведена на соответствие бюджетному </w:t>
      </w:r>
      <w:r w:rsidR="009629C7" w:rsidRPr="008005D4">
        <w:rPr>
          <w:rFonts w:eastAsia="Times New Roman" w:cs="Times New Roman"/>
          <w:szCs w:val="28"/>
          <w:lang w:eastAsia="ru-RU"/>
        </w:rPr>
        <w:lastRenderedPageBreak/>
        <w:t>законодательству Российской Федерации и Республики Татарстан, по вопросам обоснованности доходной и расходной частей. По результатам экспертиз проектов бюд</w:t>
      </w:r>
      <w:r w:rsidR="00B8097A">
        <w:rPr>
          <w:rFonts w:eastAsia="Times New Roman" w:cs="Times New Roman"/>
          <w:szCs w:val="28"/>
          <w:lang w:eastAsia="ru-RU"/>
        </w:rPr>
        <w:t>жетов сельских поселений на 2022 год и плановый период 2023 и 2024</w:t>
      </w:r>
      <w:r w:rsidR="009629C7" w:rsidRPr="008005D4">
        <w:rPr>
          <w:rFonts w:eastAsia="Times New Roman" w:cs="Times New Roman"/>
          <w:szCs w:val="28"/>
          <w:lang w:eastAsia="ru-RU"/>
        </w:rPr>
        <w:t xml:space="preserve"> годов даны  пред</w:t>
      </w:r>
      <w:r w:rsidR="008005D4" w:rsidRPr="008005D4">
        <w:rPr>
          <w:rFonts w:eastAsia="Times New Roman" w:cs="Times New Roman"/>
          <w:szCs w:val="28"/>
          <w:lang w:eastAsia="ru-RU"/>
        </w:rPr>
        <w:t>ложения (замечания</w:t>
      </w:r>
      <w:r w:rsidR="009629C7" w:rsidRPr="008005D4">
        <w:rPr>
          <w:rFonts w:eastAsia="Times New Roman" w:cs="Times New Roman"/>
          <w:szCs w:val="28"/>
          <w:lang w:eastAsia="ru-RU"/>
        </w:rPr>
        <w:t>) по устранению отмеченных недостатков, которые учтены при принятии решений по утверждению бюджетов.</w:t>
      </w:r>
    </w:p>
    <w:p w:rsidR="004A4A2D" w:rsidRDefault="004A4A2D" w:rsidP="00F63354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Взаимодействие со Счетной палатой Республики Татарстан,</w:t>
      </w:r>
    </w:p>
    <w:p w:rsidR="004A4A2D" w:rsidRDefault="004A4A2D" w:rsidP="00F63354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контрольно-счетными органами муниципальных образований</w:t>
      </w:r>
    </w:p>
    <w:p w:rsidR="004A4A2D" w:rsidRDefault="004A4A2D" w:rsidP="008A286A">
      <w:pPr>
        <w:spacing w:line="240" w:lineRule="auto"/>
        <w:ind w:firstLine="709"/>
        <w:jc w:val="both"/>
        <w:rPr>
          <w:b/>
          <w:szCs w:val="28"/>
        </w:rPr>
      </w:pPr>
    </w:p>
    <w:p w:rsidR="004A4A2D" w:rsidRDefault="004A4A2D" w:rsidP="00F6335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В течение отчетного периода осуществлялось постоянное взаимодействие по вопросам текущей деятельности со Счетной палатой Республики Татарстан, контрольно-счетными органами муниципальных районов Республики Татарстан. Счетной палатой Республики Татарстан проводились семинары-совещания на актуальные темы внешнего финансового контроля, на которых рассматривались вопросы эффективности деятельности контрольно-счетных органов, исполнение предоставленных законодательством полномочий по аудиту в сфере закупок, реализация полномочия по составлению протоколов об административных правонарушениях в области бюджетного законодательства. В течение отчетного года в рамках работы Совета контрольно-счетных органов Республики Татарстан оказывается организационная, правовая, методическая, информационная поддержка. Информация о деятельности Контрольно-счетной палаты представляется в Совет контрольно-счетных органов Республики Татарстан ежемесячно. </w:t>
      </w:r>
    </w:p>
    <w:p w:rsidR="004A4A2D" w:rsidRDefault="004A4A2D" w:rsidP="00F63354">
      <w:pPr>
        <w:spacing w:after="0"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отчетном году в соответствии с Соглашением о проведении совместного контрольного мероприятия между Счетной палатой</w:t>
      </w:r>
      <w:proofErr w:type="gramEnd"/>
      <w:r>
        <w:rPr>
          <w:szCs w:val="28"/>
        </w:rPr>
        <w:t xml:space="preserve"> Республики Татарстан и «Контрольно-счетной палатой Апастовского муниципального района РТ»:</w:t>
      </w:r>
    </w:p>
    <w:p w:rsidR="004A4A2D" w:rsidRDefault="004A4A2D" w:rsidP="00F63354">
      <w:pPr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ежеквартально осуществляется мониторинг использования высокотехнологичного медицинского оборудования в ГАУЗ «</w:t>
      </w:r>
      <w:proofErr w:type="spellStart"/>
      <w:r w:rsidR="00EF0ABA">
        <w:rPr>
          <w:szCs w:val="28"/>
          <w:lang w:eastAsia="ru-RU"/>
        </w:rPr>
        <w:t>Апастовская</w:t>
      </w:r>
      <w:proofErr w:type="spellEnd"/>
      <w:r w:rsidR="00EF0AB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ЦРБ». </w:t>
      </w:r>
    </w:p>
    <w:p w:rsidR="009F6C22" w:rsidRDefault="009F6C22" w:rsidP="00F63354">
      <w:pPr>
        <w:spacing w:after="0" w:line="360" w:lineRule="auto"/>
        <w:ind w:firstLine="709"/>
        <w:jc w:val="both"/>
        <w:rPr>
          <w:szCs w:val="28"/>
          <w:lang w:eastAsia="ru-RU"/>
        </w:rPr>
      </w:pPr>
    </w:p>
    <w:p w:rsidR="009F6C22" w:rsidRPr="009F6C22" w:rsidRDefault="009F6C22" w:rsidP="00F63354">
      <w:pPr>
        <w:spacing w:after="0" w:line="360" w:lineRule="auto"/>
        <w:ind w:firstLine="709"/>
        <w:jc w:val="both"/>
        <w:rPr>
          <w:b/>
          <w:szCs w:val="28"/>
          <w:lang w:eastAsia="ru-RU"/>
        </w:rPr>
      </w:pPr>
      <w:r w:rsidRPr="009F6C22">
        <w:rPr>
          <w:b/>
          <w:szCs w:val="28"/>
          <w:lang w:eastAsia="ru-RU"/>
        </w:rPr>
        <w:t xml:space="preserve">Повышение квалификации сотрудников контрольно-счетной палаты Апастовского </w:t>
      </w:r>
      <w:proofErr w:type="gramStart"/>
      <w:r w:rsidRPr="009F6C22">
        <w:rPr>
          <w:b/>
          <w:szCs w:val="28"/>
          <w:lang w:eastAsia="ru-RU"/>
        </w:rPr>
        <w:t>муниципального</w:t>
      </w:r>
      <w:proofErr w:type="gramEnd"/>
      <w:r w:rsidRPr="009F6C22">
        <w:rPr>
          <w:b/>
          <w:szCs w:val="28"/>
          <w:lang w:eastAsia="ru-RU"/>
        </w:rPr>
        <w:t xml:space="preserve"> района</w:t>
      </w:r>
    </w:p>
    <w:p w:rsidR="009F6C22" w:rsidRDefault="009F6C22" w:rsidP="00F63354">
      <w:pPr>
        <w:spacing w:after="0" w:line="36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Повышение квалификации прошел один сотрудник в отчетному году.</w:t>
      </w:r>
      <w:proofErr w:type="gramEnd"/>
      <w:r>
        <w:rPr>
          <w:szCs w:val="28"/>
          <w:lang w:eastAsia="ru-RU"/>
        </w:rPr>
        <w:t xml:space="preserve"> Обучения прошли в Высшей школе государственного и муниципального управления Казанского (Приволжского) федерального университета. </w:t>
      </w:r>
    </w:p>
    <w:p w:rsidR="004B200B" w:rsidRDefault="004B200B" w:rsidP="004B20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Cs w:val="28"/>
        </w:rPr>
      </w:pPr>
    </w:p>
    <w:p w:rsidR="004B200B" w:rsidRPr="008A286A" w:rsidRDefault="004B200B" w:rsidP="004B20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szCs w:val="28"/>
          <w:lang w:eastAsia="ru-RU"/>
        </w:rPr>
      </w:pPr>
      <w:r>
        <w:rPr>
          <w:b/>
          <w:szCs w:val="28"/>
        </w:rPr>
        <w:t>Иная деятельность</w:t>
      </w:r>
    </w:p>
    <w:p w:rsidR="004B200B" w:rsidRDefault="004B200B" w:rsidP="004B200B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требованиями законодательства продолжилась работа по разработке и утверждению стандартов внешнего муниципального финансового контроля, регулирующие осуществление контрольной, экспертно-аналитической и информационной деятельности в целях содействия качественному выполнению задач Контрольно-счётной палаты района, повышению уровня эффективности её деятельности. Сотрудники Контрольно-счетной палаты принимают участие на заседаниях Совета Апастовского муниципального района, на заседаниях комиссий, в публичных слушаниях по рассмотрению отчета об исполнении бюджета района и по рассмотрению проекта бюджета района. В отчетном периоде продолжена работа, направленная на повышение профессиональной компетентности и улучшения результативности профессиональной служебной деятельности.</w:t>
      </w:r>
    </w:p>
    <w:p w:rsidR="004B200B" w:rsidRDefault="004B200B" w:rsidP="004B200B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Информация о результатах проведенных проверок регулярно представляется в Совет Апастовского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района, Главе Апастовского муниципального района, в Исполнительный комитет.</w:t>
      </w:r>
    </w:p>
    <w:p w:rsidR="004B200B" w:rsidRDefault="004B200B" w:rsidP="004B200B">
      <w:pPr>
        <w:spacing w:after="0"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Принцип гласности и открытости в деятельности Контрольно-счетной палаты в отчетном году реализовывался за счет актуализации информации о деятельности палаты на официальном сайте муниципального района.</w:t>
      </w:r>
      <w:proofErr w:type="gramEnd"/>
      <w:r>
        <w:rPr>
          <w:szCs w:val="28"/>
        </w:rPr>
        <w:t xml:space="preserve"> На официальном сайте в телекоммуникационной сети «Интернет» размещались </w:t>
      </w:r>
      <w:r>
        <w:rPr>
          <w:szCs w:val="28"/>
        </w:rPr>
        <w:lastRenderedPageBreak/>
        <w:t xml:space="preserve">планы работы и ежегодные отчёты о деятельности, нормативно-правовая база, ежеквартальная информация о проведённых контрольных и экспертно-аналитических мероприятиях. </w:t>
      </w:r>
    </w:p>
    <w:p w:rsidR="004B200B" w:rsidRDefault="004B200B" w:rsidP="004B200B">
      <w:pPr>
        <w:jc w:val="both"/>
        <w:rPr>
          <w:szCs w:val="28"/>
        </w:rPr>
      </w:pPr>
    </w:p>
    <w:p w:rsidR="004B200B" w:rsidRDefault="004B200B" w:rsidP="00F63354">
      <w:pPr>
        <w:spacing w:after="0" w:line="360" w:lineRule="auto"/>
        <w:ind w:firstLine="709"/>
        <w:jc w:val="both"/>
        <w:rPr>
          <w:szCs w:val="28"/>
          <w:lang w:eastAsia="ru-RU"/>
        </w:rPr>
      </w:pPr>
    </w:p>
    <w:p w:rsidR="008A286A" w:rsidRDefault="008A286A" w:rsidP="008D609A">
      <w:pPr>
        <w:jc w:val="both"/>
        <w:rPr>
          <w:szCs w:val="28"/>
        </w:rPr>
      </w:pPr>
    </w:p>
    <w:p w:rsidR="008D609A" w:rsidRDefault="008D609A" w:rsidP="00B8097A">
      <w:pPr>
        <w:spacing w:after="0"/>
        <w:jc w:val="both"/>
        <w:rPr>
          <w:szCs w:val="28"/>
        </w:rPr>
      </w:pPr>
      <w:r>
        <w:rPr>
          <w:szCs w:val="28"/>
        </w:rPr>
        <w:t xml:space="preserve">Председатель  </w:t>
      </w:r>
    </w:p>
    <w:p w:rsidR="008D609A" w:rsidRDefault="008D609A" w:rsidP="00B8097A">
      <w:pPr>
        <w:spacing w:after="0"/>
        <w:jc w:val="both"/>
        <w:rPr>
          <w:szCs w:val="28"/>
        </w:rPr>
      </w:pPr>
      <w:r>
        <w:rPr>
          <w:szCs w:val="28"/>
        </w:rPr>
        <w:t>Контрольно-счетной палаты</w:t>
      </w:r>
    </w:p>
    <w:p w:rsidR="009629C7" w:rsidRPr="00D53F60" w:rsidRDefault="008D609A" w:rsidP="0074411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Апастовского муниципального района РТ                             И.В.Фахрутдинов</w:t>
      </w:r>
      <w:r>
        <w:rPr>
          <w:szCs w:val="28"/>
        </w:rPr>
        <w:tab/>
      </w:r>
    </w:p>
    <w:p w:rsidR="008C7265" w:rsidRPr="005476BC" w:rsidRDefault="008C7265" w:rsidP="00665774">
      <w:pPr>
        <w:tabs>
          <w:tab w:val="left" w:pos="426"/>
        </w:tabs>
        <w:spacing w:line="240" w:lineRule="auto"/>
        <w:rPr>
          <w:b/>
          <w:szCs w:val="28"/>
        </w:rPr>
      </w:pPr>
    </w:p>
    <w:sectPr w:rsidR="008C7265" w:rsidRPr="0054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1B"/>
    <w:rsid w:val="000503DD"/>
    <w:rsid w:val="00051ECD"/>
    <w:rsid w:val="000520D3"/>
    <w:rsid w:val="000523CF"/>
    <w:rsid w:val="00063ADE"/>
    <w:rsid w:val="00093EC8"/>
    <w:rsid w:val="000A367E"/>
    <w:rsid w:val="000B7CFB"/>
    <w:rsid w:val="000D54B8"/>
    <w:rsid w:val="000D6A73"/>
    <w:rsid w:val="00102CC4"/>
    <w:rsid w:val="00113E8A"/>
    <w:rsid w:val="00124FC7"/>
    <w:rsid w:val="00173132"/>
    <w:rsid w:val="0017322B"/>
    <w:rsid w:val="00183D8C"/>
    <w:rsid w:val="0019425B"/>
    <w:rsid w:val="0021686D"/>
    <w:rsid w:val="002B14A1"/>
    <w:rsid w:val="002E45EC"/>
    <w:rsid w:val="002E7AD0"/>
    <w:rsid w:val="003146B9"/>
    <w:rsid w:val="00382A21"/>
    <w:rsid w:val="003F2017"/>
    <w:rsid w:val="003F51FA"/>
    <w:rsid w:val="00437959"/>
    <w:rsid w:val="004A4A2D"/>
    <w:rsid w:val="004B200B"/>
    <w:rsid w:val="004B508D"/>
    <w:rsid w:val="004D2A80"/>
    <w:rsid w:val="004E409A"/>
    <w:rsid w:val="004F3FBF"/>
    <w:rsid w:val="005250F0"/>
    <w:rsid w:val="005476BC"/>
    <w:rsid w:val="00567746"/>
    <w:rsid w:val="005B5585"/>
    <w:rsid w:val="00646F5A"/>
    <w:rsid w:val="00665774"/>
    <w:rsid w:val="006764D9"/>
    <w:rsid w:val="00692B36"/>
    <w:rsid w:val="006B1A90"/>
    <w:rsid w:val="007152D1"/>
    <w:rsid w:val="00744116"/>
    <w:rsid w:val="007557F6"/>
    <w:rsid w:val="0076328C"/>
    <w:rsid w:val="00794827"/>
    <w:rsid w:val="007F1E67"/>
    <w:rsid w:val="008005D4"/>
    <w:rsid w:val="008331A3"/>
    <w:rsid w:val="00894FC4"/>
    <w:rsid w:val="00895353"/>
    <w:rsid w:val="008A286A"/>
    <w:rsid w:val="008C0B14"/>
    <w:rsid w:val="008C7265"/>
    <w:rsid w:val="008D609A"/>
    <w:rsid w:val="008F6BEF"/>
    <w:rsid w:val="00906379"/>
    <w:rsid w:val="009235C6"/>
    <w:rsid w:val="009325BD"/>
    <w:rsid w:val="009629C7"/>
    <w:rsid w:val="009F6C22"/>
    <w:rsid w:val="00A27C15"/>
    <w:rsid w:val="00A753C1"/>
    <w:rsid w:val="00AC794A"/>
    <w:rsid w:val="00B01E27"/>
    <w:rsid w:val="00B26E7A"/>
    <w:rsid w:val="00B401CE"/>
    <w:rsid w:val="00B45F91"/>
    <w:rsid w:val="00B67555"/>
    <w:rsid w:val="00B73179"/>
    <w:rsid w:val="00B8097A"/>
    <w:rsid w:val="00B910D5"/>
    <w:rsid w:val="00BA6BAF"/>
    <w:rsid w:val="00C44D1B"/>
    <w:rsid w:val="00C771BC"/>
    <w:rsid w:val="00CB1569"/>
    <w:rsid w:val="00CD5EC7"/>
    <w:rsid w:val="00D24A4F"/>
    <w:rsid w:val="00D43366"/>
    <w:rsid w:val="00D60002"/>
    <w:rsid w:val="00DC736A"/>
    <w:rsid w:val="00DE6734"/>
    <w:rsid w:val="00DE7CF4"/>
    <w:rsid w:val="00E24C27"/>
    <w:rsid w:val="00E26D8D"/>
    <w:rsid w:val="00E736C5"/>
    <w:rsid w:val="00EE3EA0"/>
    <w:rsid w:val="00EF0ABA"/>
    <w:rsid w:val="00F147A5"/>
    <w:rsid w:val="00F177D2"/>
    <w:rsid w:val="00F63354"/>
    <w:rsid w:val="00F956C3"/>
    <w:rsid w:val="00FA38FC"/>
    <w:rsid w:val="00FB5C64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286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B558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B558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286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B558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B558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Лист3!$A$147:$A$149</c:f>
              <c:strCache>
                <c:ptCount val="3"/>
                <c:pt idx="0">
                  <c:v>нарушения при формировании и исполнении бюджета</c:v>
                </c:pt>
                <c:pt idx="1">
                  <c:v>нарушения в сфере управления и распоряжения муниципальной собственностью </c:v>
                </c:pt>
                <c:pt idx="2">
                  <c:v>нарушения ведения бухгалтерского учета,  составления и представления бухгалтерской (финансовой) отчетности</c:v>
                </c:pt>
              </c:strCache>
            </c:strRef>
          </c:cat>
          <c:val>
            <c:numRef>
              <c:f>Лист3!$B$147:$B$149</c:f>
              <c:numCache>
                <c:formatCode>General</c:formatCode>
                <c:ptCount val="3"/>
                <c:pt idx="0">
                  <c:v>7.3</c:v>
                </c:pt>
                <c:pt idx="1">
                  <c:v>81.599999999999994</c:v>
                </c:pt>
                <c:pt idx="2">
                  <c:v>10.9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F9C7-2220-494D-844C-769DAEC6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2022-02-01T10:42:00Z</dcterms:created>
  <dcterms:modified xsi:type="dcterms:W3CDTF">2022-05-11T09:15:00Z</dcterms:modified>
</cp:coreProperties>
</file>